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5353B" w14:textId="77777777" w:rsidR="00BF20F5" w:rsidRPr="0056569B" w:rsidRDefault="00BF20F5" w:rsidP="00BF20F5">
      <w:pPr>
        <w:widowControl w:val="0"/>
        <w:jc w:val="right"/>
        <w:rPr>
          <w:rFonts w:ascii="Arial" w:eastAsia="Courier New" w:hAnsi="Arial" w:cs="Arial"/>
          <w:color w:val="000000"/>
          <w:lang w:eastAsia="en-GB" w:bidi="en-GB"/>
        </w:rPr>
      </w:pPr>
    </w:p>
    <w:p w14:paraId="1FE7F532" w14:textId="77777777" w:rsidR="00BF20F5" w:rsidRPr="0056569B" w:rsidRDefault="00BF20F5" w:rsidP="00BF20F5">
      <w:pPr>
        <w:widowControl w:val="0"/>
        <w:jc w:val="right"/>
        <w:rPr>
          <w:rFonts w:ascii="Arial" w:eastAsia="Courier New" w:hAnsi="Arial" w:cs="Arial"/>
          <w:color w:val="000000"/>
          <w:lang w:eastAsia="en-GB" w:bidi="en-GB"/>
        </w:rPr>
      </w:pPr>
    </w:p>
    <w:p w14:paraId="20B6540F" w14:textId="77777777" w:rsidR="00BF20F5" w:rsidRPr="0056569B" w:rsidRDefault="00BF20F5" w:rsidP="00BF20F5">
      <w:pPr>
        <w:widowControl w:val="0"/>
        <w:jc w:val="right"/>
        <w:rPr>
          <w:rFonts w:ascii="Arial" w:eastAsia="Courier New" w:hAnsi="Arial" w:cs="Arial"/>
          <w:color w:val="000000"/>
          <w:lang w:eastAsia="en-GB" w:bidi="en-GB"/>
        </w:rPr>
      </w:pPr>
    </w:p>
    <w:p w14:paraId="0DC39593" w14:textId="77777777" w:rsidR="00BF20F5" w:rsidRPr="0056569B" w:rsidRDefault="00BF20F5" w:rsidP="00BF20F5">
      <w:pPr>
        <w:widowControl w:val="0"/>
        <w:jc w:val="right"/>
        <w:rPr>
          <w:rFonts w:ascii="Arial" w:eastAsia="Courier New" w:hAnsi="Arial" w:cs="Arial"/>
          <w:color w:val="000000"/>
          <w:lang w:eastAsia="en-GB" w:bidi="en-GB"/>
        </w:rPr>
      </w:pPr>
    </w:p>
    <w:p w14:paraId="234DDEE1" w14:textId="77777777" w:rsidR="00BF20F5" w:rsidRPr="0056569B" w:rsidRDefault="00BF20F5" w:rsidP="00BF20F5">
      <w:pPr>
        <w:widowControl w:val="0"/>
        <w:jc w:val="right"/>
        <w:rPr>
          <w:rFonts w:ascii="Arial" w:eastAsia="Courier New" w:hAnsi="Arial" w:cs="Arial"/>
          <w:color w:val="000000"/>
          <w:lang w:eastAsia="en-GB" w:bidi="en-GB"/>
        </w:rPr>
      </w:pPr>
    </w:p>
    <w:p w14:paraId="7D6C133C" w14:textId="77777777" w:rsidR="00BF20F5" w:rsidRPr="0056569B" w:rsidRDefault="00BF20F5" w:rsidP="00BF20F5">
      <w:pPr>
        <w:widowControl w:val="0"/>
        <w:jc w:val="right"/>
        <w:rPr>
          <w:rFonts w:ascii="Arial" w:eastAsia="Courier New" w:hAnsi="Arial" w:cs="Arial"/>
          <w:color w:val="000000"/>
          <w:lang w:eastAsia="en-GB" w:bidi="en-GB"/>
        </w:rPr>
      </w:pPr>
    </w:p>
    <w:p w14:paraId="362AD929" w14:textId="77777777" w:rsidR="00BF20F5" w:rsidRPr="00FC1E00" w:rsidRDefault="00BF20F5" w:rsidP="00BF20F5">
      <w:pPr>
        <w:widowControl w:val="0"/>
        <w:jc w:val="right"/>
        <w:rPr>
          <w:rFonts w:ascii="Arial" w:eastAsia="Courier New" w:hAnsi="Arial" w:cs="Arial"/>
          <w:b/>
          <w:color w:val="000000"/>
          <w:lang w:val="de-AT" w:eastAsia="en-GB" w:bidi="en-GB"/>
        </w:rPr>
      </w:pPr>
      <w:r w:rsidRPr="0056569B">
        <w:rPr>
          <w:rFonts w:ascii="Arial" w:eastAsia="Courier New" w:hAnsi="Arial" w:cs="Arial"/>
          <w:b/>
          <w:color w:val="000000"/>
          <w:lang w:eastAsia="en-GB" w:bidi="en-GB"/>
        </w:rPr>
        <w:t xml:space="preserve">SP. ZN. </w:t>
      </w:r>
      <w:r w:rsidRPr="00FC1E00">
        <w:rPr>
          <w:rFonts w:ascii="Arial" w:eastAsia="Courier New" w:hAnsi="Arial" w:cs="Arial"/>
          <w:b/>
          <w:color w:val="000000"/>
          <w:lang w:val="de-AT" w:eastAsia="en-GB" w:bidi="en-GB"/>
        </w:rPr>
        <w:t>RK</w:t>
      </w:r>
      <w:r w:rsidRPr="0056569B">
        <w:rPr>
          <w:rFonts w:ascii="Arial" w:eastAsia="Courier New" w:hAnsi="Arial" w:cs="Arial"/>
          <w:b/>
          <w:color w:val="000000"/>
          <w:lang w:eastAsia="en-GB" w:bidi="en-GB"/>
        </w:rPr>
        <w:t>-X/20XX/RS-T</w:t>
      </w:r>
    </w:p>
    <w:p w14:paraId="24D9D72F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color w:val="000000"/>
          <w:lang w:eastAsia="en-GB" w:bidi="en-GB"/>
        </w:rPr>
      </w:pPr>
    </w:p>
    <w:p w14:paraId="5420DF05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color w:val="000000"/>
          <w:sz w:val="24"/>
          <w:szCs w:val="24"/>
          <w:lang w:eastAsia="en-GB" w:bidi="en-GB"/>
        </w:rPr>
      </w:pPr>
    </w:p>
    <w:p w14:paraId="0C189E75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b/>
          <w:color w:val="000000"/>
          <w:sz w:val="24"/>
          <w:szCs w:val="24"/>
          <w:lang w:eastAsia="en-GB" w:bidi="en-GB"/>
        </w:rPr>
      </w:pPr>
      <w:r w:rsidRPr="0056569B">
        <w:rPr>
          <w:rFonts w:ascii="Arial" w:eastAsia="Courier New" w:hAnsi="Arial" w:cs="Arial"/>
          <w:b/>
          <w:color w:val="000000"/>
          <w:sz w:val="24"/>
          <w:szCs w:val="24"/>
          <w:lang w:eastAsia="en-GB" w:bidi="en-GB"/>
        </w:rPr>
        <w:t>V rozhodcovskom konaní</w:t>
      </w:r>
    </w:p>
    <w:p w14:paraId="2783A79A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b/>
          <w:color w:val="000000"/>
          <w:lang w:eastAsia="en-GB" w:bidi="en-GB"/>
        </w:rPr>
      </w:pPr>
    </w:p>
    <w:p w14:paraId="00C18229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b/>
          <w:color w:val="000000"/>
          <w:lang w:eastAsia="en-GB" w:bidi="en-GB"/>
        </w:rPr>
      </w:pPr>
    </w:p>
    <w:p w14:paraId="1AAB0FC0" w14:textId="29089AD4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b/>
          <w:color w:val="000000"/>
          <w:lang w:eastAsia="en-GB" w:bidi="en-GB"/>
        </w:rPr>
      </w:pPr>
      <w:r w:rsidRPr="0056569B">
        <w:rPr>
          <w:rFonts w:ascii="Arial" w:eastAsia="Courier New" w:hAnsi="Arial" w:cs="Arial"/>
          <w:b/>
          <w:color w:val="000000"/>
          <w:lang w:eastAsia="en-GB" w:bidi="en-GB"/>
        </w:rPr>
        <w:t>medzi:</w:t>
      </w:r>
    </w:p>
    <w:p w14:paraId="2F87FCB6" w14:textId="77777777" w:rsidR="00BF20F5" w:rsidRPr="0056569B" w:rsidRDefault="00BF20F5" w:rsidP="00BF20F5">
      <w:pPr>
        <w:widowControl w:val="0"/>
        <w:jc w:val="both"/>
        <w:rPr>
          <w:rFonts w:ascii="Arial" w:eastAsia="Courier New" w:hAnsi="Arial" w:cs="Arial"/>
          <w:color w:val="000000"/>
          <w:lang w:eastAsia="en-GB" w:bidi="en-GB"/>
        </w:rPr>
      </w:pPr>
    </w:p>
    <w:p w14:paraId="0EF6ADCC" w14:textId="77777777" w:rsidR="00BF20F5" w:rsidRPr="0056569B" w:rsidRDefault="00BF20F5" w:rsidP="00BF20F5">
      <w:pPr>
        <w:widowControl w:val="0"/>
        <w:jc w:val="both"/>
        <w:rPr>
          <w:rFonts w:ascii="Arial" w:eastAsia="Courier New" w:hAnsi="Arial" w:cs="Arial"/>
          <w:color w:val="000000"/>
          <w:lang w:eastAsia="en-GB" w:bidi="en-GB"/>
        </w:rPr>
      </w:pPr>
    </w:p>
    <w:p w14:paraId="28761482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color w:val="000000"/>
          <w:lang w:eastAsia="en-GB" w:bidi="en-GB"/>
        </w:rPr>
      </w:pPr>
      <w:r w:rsidRPr="0056569B">
        <w:rPr>
          <w:rFonts w:ascii="Arial" w:eastAsia="Courier New" w:hAnsi="Arial" w:cs="Arial"/>
          <w:color w:val="000000"/>
          <w:lang w:eastAsia="en-GB" w:bidi="en-GB"/>
        </w:rPr>
        <w:t>[…]</w:t>
      </w:r>
    </w:p>
    <w:p w14:paraId="54FD938F" w14:textId="77777777" w:rsidR="00BF20F5" w:rsidRPr="0056569B" w:rsidRDefault="00BF20F5" w:rsidP="00BF20F5">
      <w:pPr>
        <w:widowControl w:val="0"/>
        <w:rPr>
          <w:rFonts w:ascii="Arial" w:eastAsia="Courier New" w:hAnsi="Arial" w:cs="Arial"/>
          <w:color w:val="000000"/>
          <w:lang w:eastAsia="en-GB" w:bidi="en-GB"/>
        </w:rPr>
      </w:pPr>
      <w:r w:rsidRPr="0056569B">
        <w:rPr>
          <w:rFonts w:ascii="Arial" w:eastAsia="Courier New" w:hAnsi="Arial" w:cs="Arial"/>
          <w:color w:val="000000"/>
          <w:lang w:eastAsia="en-GB" w:bidi="en-GB"/>
        </w:rPr>
        <w:t>so sídlom […], IČO: […], zapísaná v obchodnom registri Okresného súdu […], oddiel: […], vložka č. […],</w:t>
      </w:r>
    </w:p>
    <w:p w14:paraId="1F12AC5B" w14:textId="77777777" w:rsidR="00BF20F5" w:rsidRPr="0056569B" w:rsidRDefault="00BF20F5" w:rsidP="00BF20F5">
      <w:pPr>
        <w:widowControl w:val="0"/>
        <w:jc w:val="right"/>
        <w:rPr>
          <w:rFonts w:ascii="Arial" w:eastAsia="Courier New" w:hAnsi="Arial" w:cs="Arial"/>
          <w:b/>
          <w:color w:val="000000"/>
          <w:lang w:eastAsia="en-GB" w:bidi="en-GB"/>
        </w:rPr>
      </w:pPr>
      <w:r w:rsidRPr="0056569B">
        <w:rPr>
          <w:rFonts w:ascii="Arial" w:eastAsia="Courier New" w:hAnsi="Arial" w:cs="Arial"/>
          <w:b/>
          <w:color w:val="000000"/>
          <w:u w:val="single"/>
          <w:lang w:eastAsia="en-GB" w:bidi="en-GB"/>
        </w:rPr>
        <w:t>Žalobca</w:t>
      </w:r>
    </w:p>
    <w:p w14:paraId="2A6AE14C" w14:textId="77777777" w:rsidR="00BF20F5" w:rsidRPr="0056569B" w:rsidRDefault="00BF20F5" w:rsidP="00BF20F5">
      <w:pPr>
        <w:widowControl w:val="0"/>
        <w:jc w:val="right"/>
        <w:rPr>
          <w:rFonts w:ascii="Arial" w:eastAsia="Courier New" w:hAnsi="Arial" w:cs="Arial"/>
          <w:color w:val="000000"/>
          <w:lang w:eastAsia="en-GB" w:bidi="en-GB"/>
        </w:rPr>
      </w:pPr>
    </w:p>
    <w:p w14:paraId="6151E9F6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color w:val="000000"/>
          <w:lang w:eastAsia="en-GB" w:bidi="en-GB"/>
        </w:rPr>
      </w:pPr>
      <w:r w:rsidRPr="0056569B">
        <w:rPr>
          <w:rFonts w:ascii="Arial" w:eastAsia="Courier New" w:hAnsi="Arial" w:cs="Arial"/>
          <w:color w:val="000000"/>
          <w:lang w:eastAsia="en-GB" w:bidi="en-GB"/>
        </w:rPr>
        <w:t>-a-</w:t>
      </w:r>
    </w:p>
    <w:p w14:paraId="1E897BE7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color w:val="000000"/>
          <w:lang w:eastAsia="en-GB" w:bidi="en-GB"/>
        </w:rPr>
      </w:pPr>
    </w:p>
    <w:p w14:paraId="1B631839" w14:textId="77777777" w:rsidR="00BF20F5" w:rsidRPr="0056569B" w:rsidRDefault="00BF20F5" w:rsidP="00BF20F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6569B">
        <w:rPr>
          <w:rFonts w:ascii="Arial" w:eastAsia="Courier New" w:hAnsi="Arial" w:cs="Arial"/>
          <w:color w:val="000000"/>
          <w:lang w:eastAsia="en-GB" w:bidi="en-GB"/>
        </w:rPr>
        <w:t>[…]</w:t>
      </w:r>
    </w:p>
    <w:p w14:paraId="43A50B3D" w14:textId="77777777" w:rsidR="00BF20F5" w:rsidRPr="0056569B" w:rsidRDefault="00BF20F5" w:rsidP="00BF20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n-GB"/>
        </w:rPr>
      </w:pPr>
      <w:r w:rsidRPr="0056569B">
        <w:rPr>
          <w:rFonts w:ascii="Arial" w:hAnsi="Arial" w:cs="Arial"/>
        </w:rPr>
        <w:t xml:space="preserve">so sídlom </w:t>
      </w:r>
      <w:r w:rsidRPr="0056569B">
        <w:rPr>
          <w:rFonts w:ascii="Arial" w:eastAsia="Courier New" w:hAnsi="Arial" w:cs="Arial"/>
          <w:color w:val="000000"/>
          <w:lang w:eastAsia="en-GB" w:bidi="en-GB"/>
        </w:rPr>
        <w:t>[…]</w:t>
      </w:r>
      <w:r w:rsidRPr="0056569B">
        <w:rPr>
          <w:rFonts w:ascii="Arial" w:hAnsi="Arial" w:cs="Arial"/>
        </w:rPr>
        <w:t xml:space="preserve">, IČO: </w:t>
      </w:r>
      <w:r w:rsidRPr="0056569B">
        <w:rPr>
          <w:rFonts w:ascii="Arial" w:eastAsia="Courier New" w:hAnsi="Arial" w:cs="Arial"/>
          <w:color w:val="000000"/>
          <w:lang w:eastAsia="en-GB" w:bidi="en-GB"/>
        </w:rPr>
        <w:t>[…]</w:t>
      </w:r>
      <w:r w:rsidRPr="0056569B">
        <w:rPr>
          <w:rFonts w:ascii="Arial" w:hAnsi="Arial" w:cs="Arial"/>
        </w:rPr>
        <w:t xml:space="preserve">, zapísaná v Obchodnom registri Okresného súdu </w:t>
      </w:r>
      <w:r w:rsidRPr="0056569B">
        <w:rPr>
          <w:rFonts w:ascii="Arial" w:eastAsia="Courier New" w:hAnsi="Arial" w:cs="Arial"/>
          <w:color w:val="000000"/>
          <w:lang w:eastAsia="en-GB" w:bidi="en-GB"/>
        </w:rPr>
        <w:t>[…]</w:t>
      </w:r>
      <w:r w:rsidRPr="0056569B">
        <w:rPr>
          <w:rFonts w:ascii="Arial" w:hAnsi="Arial" w:cs="Arial"/>
        </w:rPr>
        <w:t xml:space="preserve">, oddiel: </w:t>
      </w:r>
      <w:r w:rsidRPr="0056569B">
        <w:rPr>
          <w:rFonts w:ascii="Arial" w:eastAsia="Courier New" w:hAnsi="Arial" w:cs="Arial"/>
          <w:color w:val="000000"/>
          <w:lang w:eastAsia="en-GB" w:bidi="en-GB"/>
        </w:rPr>
        <w:t>[…]</w:t>
      </w:r>
      <w:r w:rsidRPr="0056569B">
        <w:rPr>
          <w:rFonts w:ascii="Arial" w:hAnsi="Arial" w:cs="Arial"/>
        </w:rPr>
        <w:t xml:space="preserve">, vložka č. </w:t>
      </w:r>
      <w:r w:rsidRPr="0056569B">
        <w:rPr>
          <w:rFonts w:ascii="Arial" w:eastAsia="Courier New" w:hAnsi="Arial" w:cs="Arial"/>
          <w:color w:val="000000"/>
          <w:lang w:eastAsia="en-GB" w:bidi="en-GB"/>
        </w:rPr>
        <w:t>[…]</w:t>
      </w:r>
    </w:p>
    <w:p w14:paraId="2DACF668" w14:textId="77777777" w:rsidR="00BF20F5" w:rsidRPr="0056569B" w:rsidRDefault="00BF20F5" w:rsidP="00BF20F5">
      <w:pPr>
        <w:autoSpaceDE w:val="0"/>
        <w:autoSpaceDN w:val="0"/>
        <w:adjustRightInd w:val="0"/>
        <w:jc w:val="right"/>
        <w:rPr>
          <w:rFonts w:ascii="Arial" w:eastAsia="Courier New" w:hAnsi="Arial" w:cs="Arial"/>
          <w:b/>
          <w:color w:val="000000"/>
          <w:u w:val="single"/>
          <w:lang w:eastAsia="en-GB" w:bidi="en-GB"/>
        </w:rPr>
      </w:pPr>
      <w:r w:rsidRPr="0056569B">
        <w:rPr>
          <w:rFonts w:ascii="Arial" w:eastAsia="Courier New" w:hAnsi="Arial" w:cs="Arial"/>
          <w:b/>
          <w:color w:val="000000"/>
          <w:u w:val="single"/>
          <w:lang w:eastAsia="en-GB" w:bidi="en-GB"/>
        </w:rPr>
        <w:t>Žalovaný</w:t>
      </w:r>
    </w:p>
    <w:p w14:paraId="5F75C60D" w14:textId="77777777" w:rsidR="00BF20F5" w:rsidRPr="0056569B" w:rsidRDefault="00BF20F5" w:rsidP="00BF20F5">
      <w:pPr>
        <w:widowControl w:val="0"/>
        <w:jc w:val="right"/>
        <w:rPr>
          <w:rFonts w:ascii="Arial" w:eastAsia="Courier New" w:hAnsi="Arial" w:cs="Arial"/>
          <w:color w:val="000000"/>
          <w:u w:val="single"/>
          <w:lang w:eastAsia="en-GB" w:bidi="en-GB"/>
        </w:rPr>
      </w:pPr>
    </w:p>
    <w:p w14:paraId="443BCB7F" w14:textId="77777777" w:rsidR="00BF20F5" w:rsidRPr="0056569B" w:rsidRDefault="00BF20F5" w:rsidP="00BF20F5">
      <w:pPr>
        <w:widowControl w:val="0"/>
        <w:jc w:val="right"/>
        <w:rPr>
          <w:rFonts w:ascii="Arial" w:eastAsia="Courier New" w:hAnsi="Arial" w:cs="Arial"/>
          <w:color w:val="000000"/>
          <w:lang w:eastAsia="en-GB" w:bidi="en-GB"/>
        </w:rPr>
      </w:pPr>
    </w:p>
    <w:p w14:paraId="44FA9AC2" w14:textId="77777777" w:rsidR="00BF20F5" w:rsidRPr="0056569B" w:rsidRDefault="00BF20F5" w:rsidP="00BF20F5">
      <w:pPr>
        <w:widowControl w:val="0"/>
        <w:jc w:val="both"/>
        <w:rPr>
          <w:rFonts w:ascii="Arial" w:eastAsia="Courier New" w:hAnsi="Arial" w:cs="Arial"/>
          <w:color w:val="000000"/>
          <w:lang w:eastAsia="en-GB" w:bidi="en-GB"/>
        </w:rPr>
      </w:pPr>
    </w:p>
    <w:p w14:paraId="5D0FD33A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color w:val="000000"/>
          <w:u w:val="single"/>
          <w:lang w:eastAsia="en-GB" w:bidi="en-GB"/>
        </w:rPr>
      </w:pPr>
      <w:r w:rsidRPr="0056569B">
        <w:rPr>
          <w:rFonts w:ascii="Arial" w:eastAsia="Courier New" w:hAnsi="Arial" w:cs="Arial"/>
          <w:color w:val="000000"/>
          <w:u w:val="single"/>
          <w:lang w:eastAsia="en-GB" w:bidi="en-GB"/>
        </w:rPr>
        <w:t>_____________________________</w:t>
      </w:r>
    </w:p>
    <w:p w14:paraId="43272E3D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color w:val="000000"/>
          <w:u w:val="single"/>
          <w:lang w:eastAsia="en-GB" w:bidi="en-GB"/>
        </w:rPr>
      </w:pPr>
    </w:p>
    <w:p w14:paraId="5125AFA7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b/>
          <w:color w:val="000000"/>
          <w:sz w:val="24"/>
          <w:szCs w:val="24"/>
          <w:lang w:eastAsia="en-GB" w:bidi="en-GB"/>
        </w:rPr>
      </w:pPr>
      <w:r w:rsidRPr="0056569B">
        <w:rPr>
          <w:rFonts w:ascii="Arial" w:eastAsia="Courier New" w:hAnsi="Arial" w:cs="Arial"/>
          <w:b/>
          <w:color w:val="000000"/>
          <w:sz w:val="24"/>
          <w:szCs w:val="24"/>
          <w:lang w:eastAsia="en-GB" w:bidi="en-GB"/>
        </w:rPr>
        <w:t>PROCESNÉ UZNESENIE Č. 1</w:t>
      </w:r>
    </w:p>
    <w:p w14:paraId="2DD07D2D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color w:val="000000"/>
          <w:u w:val="single"/>
          <w:lang w:eastAsia="en-GB" w:bidi="en-GB"/>
        </w:rPr>
      </w:pPr>
      <w:r w:rsidRPr="0056569B">
        <w:rPr>
          <w:rFonts w:ascii="Arial" w:eastAsia="Courier New" w:hAnsi="Arial" w:cs="Arial"/>
          <w:color w:val="000000"/>
          <w:u w:val="single"/>
          <w:lang w:eastAsia="en-GB" w:bidi="en-GB"/>
        </w:rPr>
        <w:t>______________________________</w:t>
      </w:r>
    </w:p>
    <w:p w14:paraId="325EE337" w14:textId="77777777" w:rsidR="00BF20F5" w:rsidRPr="0056569B" w:rsidRDefault="00BF20F5" w:rsidP="00BF20F5">
      <w:pPr>
        <w:widowControl w:val="0"/>
        <w:jc w:val="center"/>
        <w:rPr>
          <w:rFonts w:ascii="Arial" w:eastAsia="Courier New" w:hAnsi="Arial" w:cs="Arial"/>
          <w:color w:val="000000"/>
          <w:u w:val="single"/>
          <w:lang w:eastAsia="en-GB" w:bidi="en-GB"/>
        </w:rPr>
      </w:pPr>
    </w:p>
    <w:p w14:paraId="7D3F93D6" w14:textId="77777777" w:rsidR="00BF20F5" w:rsidRPr="0056569B" w:rsidRDefault="00BF20F5" w:rsidP="00BF20F5">
      <w:pPr>
        <w:widowControl w:val="0"/>
        <w:jc w:val="both"/>
        <w:rPr>
          <w:rFonts w:ascii="Arial" w:eastAsia="Courier New" w:hAnsi="Arial" w:cs="Arial"/>
          <w:color w:val="000000"/>
          <w:lang w:eastAsia="en-GB" w:bidi="en-GB"/>
        </w:rPr>
      </w:pPr>
    </w:p>
    <w:p w14:paraId="0B17774D" w14:textId="77777777" w:rsidR="00BF20F5" w:rsidRPr="0056569B" w:rsidRDefault="00BF20F5" w:rsidP="00BF20F5">
      <w:pPr>
        <w:widowControl w:val="0"/>
        <w:jc w:val="both"/>
        <w:rPr>
          <w:rFonts w:ascii="Arial" w:eastAsia="Courier New" w:hAnsi="Arial" w:cs="Arial"/>
          <w:color w:val="000000"/>
          <w:lang w:eastAsia="en-GB" w:bidi="en-GB"/>
        </w:rPr>
      </w:pPr>
    </w:p>
    <w:p w14:paraId="1E487082" w14:textId="77777777" w:rsidR="00BF20F5" w:rsidRPr="0056569B" w:rsidRDefault="00BF20F5" w:rsidP="00BF20F5">
      <w:pPr>
        <w:widowControl w:val="0"/>
        <w:spacing w:line="480" w:lineRule="auto"/>
        <w:ind w:left="720" w:hanging="720"/>
        <w:jc w:val="center"/>
        <w:rPr>
          <w:rFonts w:ascii="Arial" w:eastAsia="Courier New" w:hAnsi="Arial" w:cs="Arial"/>
          <w:b/>
          <w:color w:val="000000"/>
          <w:lang w:eastAsia="en-GB" w:bidi="en-GB"/>
        </w:rPr>
      </w:pPr>
      <w:r w:rsidRPr="0056569B">
        <w:rPr>
          <w:rFonts w:ascii="Arial" w:eastAsia="Courier New" w:hAnsi="Arial" w:cs="Arial"/>
          <w:b/>
          <w:color w:val="000000"/>
          <w:lang w:eastAsia="en-GB" w:bidi="en-GB"/>
        </w:rPr>
        <w:t>[DÁTUM]</w:t>
      </w:r>
    </w:p>
    <w:p w14:paraId="5C10F328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bookmarkStart w:id="0" w:name="_Ref439235741"/>
      <w:r w:rsidRPr="0056569B">
        <w:rPr>
          <w:rFonts w:ascii="Arial" w:hAnsi="Arial" w:cs="Arial"/>
          <w:lang w:eastAsia="en-GB" w:bidi="en-GB"/>
        </w:rPr>
        <w:t>Rozhodcovský senát potvrdzuje, že dňa ... mu Tajomník doručil celý rozhodcovský spis.</w:t>
      </w:r>
    </w:p>
    <w:p w14:paraId="114D2DC2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V súlade s článkom VI(2) Rokovacieho poriadku, rozhodcovský senát, po konzultácii so stranami konania (resp. po tom, ako mali na takúto konzultáciu možnosť, ale ju nevyužili), vydáva toto Procesné Uznesenie č. 1 za účelom prijatia procesných pravidiel a predbežného časového harmonogramu tohto rozhodcovského konania. </w:t>
      </w:r>
    </w:p>
    <w:p w14:paraId="58E1385A" w14:textId="76E7D41D" w:rsidR="00BF20F5" w:rsidRPr="0056569B" w:rsidRDefault="00EA4809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>
        <w:rPr>
          <w:rFonts w:ascii="Arial" w:hAnsi="Arial" w:cs="Arial"/>
          <w:lang w:eastAsia="en-GB" w:bidi="en-GB"/>
        </w:rPr>
        <w:t>V súlade s článkom VIII(1</w:t>
      </w:r>
      <w:r w:rsidR="00BF20F5" w:rsidRPr="0056569B">
        <w:rPr>
          <w:rFonts w:ascii="Arial" w:hAnsi="Arial" w:cs="Arial"/>
          <w:lang w:eastAsia="en-GB" w:bidi="en-GB"/>
        </w:rPr>
        <w:t>) Rokovacieho poriadku, o akýchkoľvek procesných otázkach, vrátane zmeny tohto procesného uznesenia, je v ďalšom konaní oprávnený rozhodnúť samostatne predseda rozhodcovského senátu.</w:t>
      </w:r>
    </w:p>
    <w:p w14:paraId="533BBC78" w14:textId="77777777" w:rsidR="00BF20F5" w:rsidRPr="0056569B" w:rsidRDefault="00BF20F5" w:rsidP="00BF20F5">
      <w:pPr>
        <w:pStyle w:val="AOA"/>
        <w:rPr>
          <w:rFonts w:ascii="Arial" w:hAnsi="Arial" w:cs="Arial"/>
          <w:b/>
          <w:sz w:val="20"/>
          <w:szCs w:val="20"/>
          <w:lang w:val="sk-SK" w:eastAsia="en-GB" w:bidi="en-GB"/>
        </w:rPr>
      </w:pPr>
      <w:bookmarkStart w:id="1" w:name="_Ref477766583"/>
      <w:r w:rsidRPr="0056569B">
        <w:rPr>
          <w:rFonts w:ascii="Arial" w:hAnsi="Arial" w:cs="Arial"/>
          <w:b/>
          <w:sz w:val="20"/>
          <w:szCs w:val="20"/>
          <w:lang w:val="sk-SK" w:eastAsia="en-GB" w:bidi="en-GB"/>
        </w:rPr>
        <w:lastRenderedPageBreak/>
        <w:t>ČASOVÝ HARMONOGRAM KONANIA</w:t>
      </w:r>
      <w:bookmarkEnd w:id="0"/>
      <w:bookmarkEnd w:id="1"/>
      <w:r w:rsidRPr="0056569B">
        <w:rPr>
          <w:rFonts w:ascii="Arial" w:hAnsi="Arial" w:cs="Arial"/>
          <w:b/>
          <w:sz w:val="20"/>
          <w:szCs w:val="20"/>
          <w:lang w:val="sk-SK" w:eastAsia="en-GB" w:bidi="en-GB"/>
        </w:rPr>
        <w:t xml:space="preserve"> </w:t>
      </w:r>
    </w:p>
    <w:p w14:paraId="35BA3763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Rozhodcovský senát ustanovuje časový harmonogram pre rozhodcovské konanie, ktorý je súčasťou tohto procesného uznesenia ako </w:t>
      </w:r>
      <w:r w:rsidRPr="0056569B">
        <w:rPr>
          <w:rFonts w:ascii="Arial" w:hAnsi="Arial" w:cs="Arial"/>
          <w:lang w:eastAsia="en-GB" w:bidi="en-GB"/>
        </w:rPr>
        <w:fldChar w:fldCharType="begin"/>
      </w:r>
      <w:r w:rsidRPr="0056569B">
        <w:rPr>
          <w:rFonts w:ascii="Arial" w:hAnsi="Arial" w:cs="Arial"/>
          <w:lang w:eastAsia="en-GB" w:bidi="en-GB"/>
        </w:rPr>
        <w:instrText xml:space="preserve"> REF _Ref440021579 \r \h  \* MERGEFORMAT </w:instrText>
      </w:r>
      <w:r w:rsidRPr="0056569B">
        <w:rPr>
          <w:rFonts w:ascii="Arial" w:hAnsi="Arial" w:cs="Arial"/>
          <w:lang w:eastAsia="en-GB" w:bidi="en-GB"/>
        </w:rPr>
      </w:r>
      <w:r w:rsidRPr="0056569B">
        <w:rPr>
          <w:rFonts w:ascii="Arial" w:hAnsi="Arial" w:cs="Arial"/>
          <w:lang w:eastAsia="en-GB" w:bidi="en-GB"/>
        </w:rPr>
        <w:fldChar w:fldCharType="separate"/>
      </w:r>
      <w:r w:rsidRPr="0056569B">
        <w:rPr>
          <w:rFonts w:ascii="Arial" w:hAnsi="Arial" w:cs="Arial"/>
          <w:lang w:eastAsia="en-GB" w:bidi="en-GB"/>
        </w:rPr>
        <w:t>Príloha 1</w:t>
      </w:r>
      <w:r w:rsidRPr="0056569B">
        <w:rPr>
          <w:rFonts w:ascii="Arial" w:hAnsi="Arial" w:cs="Arial"/>
          <w:lang w:eastAsia="en-GB" w:bidi="en-GB"/>
        </w:rPr>
        <w:fldChar w:fldCharType="end"/>
      </w:r>
      <w:r w:rsidRPr="0056569B">
        <w:rPr>
          <w:rFonts w:ascii="Arial" w:hAnsi="Arial" w:cs="Arial"/>
          <w:lang w:eastAsia="en-GB" w:bidi="en-GB"/>
        </w:rPr>
        <w:t xml:space="preserve">. </w:t>
      </w:r>
      <w:r w:rsidRPr="0056569B">
        <w:rPr>
          <w:rFonts w:ascii="Arial" w:hAnsi="Arial" w:cs="Arial"/>
          <w:lang w:eastAsia="en-GB" w:bidi="en-GB"/>
        </w:rPr>
        <w:fldChar w:fldCharType="begin"/>
      </w:r>
      <w:r w:rsidRPr="0056569B">
        <w:rPr>
          <w:rFonts w:ascii="Arial" w:hAnsi="Arial" w:cs="Arial"/>
          <w:lang w:eastAsia="en-GB" w:bidi="en-GB"/>
        </w:rPr>
        <w:instrText xml:space="preserve"> REF _Ref440021579 \r \h  \* MERGEFORMAT </w:instrText>
      </w:r>
      <w:r w:rsidRPr="0056569B">
        <w:rPr>
          <w:rFonts w:ascii="Arial" w:hAnsi="Arial" w:cs="Arial"/>
          <w:lang w:eastAsia="en-GB" w:bidi="en-GB"/>
        </w:rPr>
      </w:r>
      <w:r w:rsidRPr="0056569B">
        <w:rPr>
          <w:rFonts w:ascii="Arial" w:hAnsi="Arial" w:cs="Arial"/>
          <w:lang w:eastAsia="en-GB" w:bidi="en-GB"/>
        </w:rPr>
        <w:fldChar w:fldCharType="separate"/>
      </w:r>
      <w:r w:rsidRPr="0056569B">
        <w:rPr>
          <w:rFonts w:ascii="Arial" w:hAnsi="Arial" w:cs="Arial"/>
          <w:lang w:eastAsia="en-GB" w:bidi="en-GB"/>
        </w:rPr>
        <w:t>Príloha 1</w:t>
      </w:r>
      <w:r w:rsidRPr="0056569B">
        <w:rPr>
          <w:rFonts w:ascii="Arial" w:hAnsi="Arial" w:cs="Arial"/>
          <w:lang w:eastAsia="en-GB" w:bidi="en-GB"/>
        </w:rPr>
        <w:fldChar w:fldCharType="end"/>
      </w:r>
      <w:r w:rsidRPr="0056569B">
        <w:rPr>
          <w:rFonts w:ascii="Arial" w:hAnsi="Arial" w:cs="Arial"/>
          <w:lang w:eastAsia="en-GB" w:bidi="en-GB"/>
        </w:rPr>
        <w:t xml:space="preserve"> tohto procesného uznesenia sa môže v priebehu konania meniť vzhľadom na vývoj rozhodcovského konania rozhodnutím predsedu rozhodcovského senátu. </w:t>
      </w:r>
    </w:p>
    <w:p w14:paraId="43EBAB1B" w14:textId="77777777" w:rsidR="00BF20F5" w:rsidRPr="0056569B" w:rsidRDefault="00BF20F5" w:rsidP="00BF20F5">
      <w:pPr>
        <w:pStyle w:val="AOA"/>
        <w:rPr>
          <w:rFonts w:ascii="Arial" w:hAnsi="Arial" w:cs="Arial"/>
          <w:b/>
          <w:sz w:val="20"/>
          <w:szCs w:val="20"/>
          <w:lang w:val="sk-SK" w:eastAsia="en-GB" w:bidi="en-GB"/>
        </w:rPr>
      </w:pPr>
      <w:r w:rsidRPr="0056569B">
        <w:rPr>
          <w:rFonts w:ascii="Arial" w:hAnsi="Arial" w:cs="Arial"/>
          <w:b/>
          <w:sz w:val="20"/>
          <w:szCs w:val="20"/>
          <w:lang w:val="en-US" w:eastAsia="en-GB" w:bidi="en-GB"/>
        </w:rPr>
        <w:t>[</w:t>
      </w:r>
      <w:r w:rsidRPr="0056569B">
        <w:rPr>
          <w:rFonts w:ascii="Arial" w:hAnsi="Arial" w:cs="Arial"/>
          <w:b/>
          <w:sz w:val="20"/>
          <w:szCs w:val="20"/>
          <w:lang w:val="sk-SK" w:eastAsia="en-GB" w:bidi="en-GB"/>
        </w:rPr>
        <w:t>ROZDELENIE KONANIA</w:t>
      </w:r>
    </w:p>
    <w:p w14:paraId="430FF1FE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bookmarkStart w:id="2" w:name="_Ref439235820"/>
      <w:r w:rsidRPr="0056569B">
        <w:rPr>
          <w:rFonts w:ascii="Arial" w:hAnsi="Arial" w:cs="Arial"/>
          <w:lang w:eastAsia="en-GB" w:bidi="en-GB"/>
        </w:rPr>
        <w:t>Toto rozhodcovské konanie bude rozdelené do troch častí. V prvej časti konania rozhodcovský senát rozhodne o právomoci rozhodcovského senátu/súdu. Ak to bude potrebné, v druhej časti konania rozhodne rozhodcovský senát o právnom základe nárokov Žalobcu. Ak to bude potrebné, v tretej časti konania rozhodne rozhodcovský senát o výške nároku.</w:t>
      </w:r>
      <w:bookmarkEnd w:id="2"/>
      <w:r w:rsidRPr="0056569B">
        <w:rPr>
          <w:rFonts w:ascii="Arial" w:hAnsi="Arial" w:cs="Arial"/>
          <w:lang w:eastAsia="en-GB" w:bidi="en-GB"/>
        </w:rPr>
        <w:t xml:space="preserve"> </w:t>
      </w:r>
    </w:p>
    <w:p w14:paraId="55C3662D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Potreba druhej a tretej časti rozhodcovského konania bude závisieť od toho, či rozhodcovský senát rozhodne o existencii právomoci rozhodcovského senátu/súdu. </w:t>
      </w:r>
    </w:p>
    <w:p w14:paraId="4433C26F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Harmonogram konania v prvej časti </w:t>
      </w:r>
      <w:r w:rsidRPr="0056569B">
        <w:rPr>
          <w:rFonts w:ascii="Arial" w:hAnsi="Arial" w:cs="Arial"/>
          <w:lang w:eastAsia="en-GB" w:bidi="en-GB"/>
        </w:rPr>
        <w:fldChar w:fldCharType="begin"/>
      </w:r>
      <w:r w:rsidRPr="0056569B">
        <w:rPr>
          <w:rFonts w:ascii="Arial" w:hAnsi="Arial" w:cs="Arial"/>
          <w:lang w:eastAsia="en-GB" w:bidi="en-GB"/>
        </w:rPr>
        <w:instrText xml:space="preserve"> REF _Ref477766583 \r \h  \* MERGEFORMAT </w:instrText>
      </w:r>
      <w:r w:rsidRPr="0056569B">
        <w:rPr>
          <w:rFonts w:ascii="Arial" w:hAnsi="Arial" w:cs="Arial"/>
          <w:lang w:eastAsia="en-GB" w:bidi="en-GB"/>
        </w:rPr>
      </w:r>
      <w:r w:rsidRPr="0056569B">
        <w:rPr>
          <w:rFonts w:ascii="Arial" w:hAnsi="Arial" w:cs="Arial"/>
          <w:lang w:eastAsia="en-GB" w:bidi="en-GB"/>
        </w:rPr>
        <w:fldChar w:fldCharType="separate"/>
      </w:r>
      <w:r w:rsidRPr="0056569B">
        <w:rPr>
          <w:rFonts w:ascii="Arial" w:hAnsi="Arial" w:cs="Arial"/>
          <w:lang w:eastAsia="en-GB" w:bidi="en-GB"/>
        </w:rPr>
        <w:t>(A)</w:t>
      </w:r>
      <w:r w:rsidRPr="0056569B">
        <w:rPr>
          <w:rFonts w:ascii="Arial" w:hAnsi="Arial" w:cs="Arial"/>
          <w:lang w:eastAsia="en-GB" w:bidi="en-GB"/>
        </w:rPr>
        <w:fldChar w:fldCharType="end"/>
      </w:r>
      <w:r w:rsidRPr="0056569B">
        <w:rPr>
          <w:rFonts w:ascii="Arial" w:hAnsi="Arial" w:cs="Arial"/>
          <w:lang w:eastAsia="en-GB" w:bidi="en-GB"/>
        </w:rPr>
        <w:t xml:space="preserve"> a lehoty/termíny v ostatných častiach tohto procesného uznesenia sa vzťahujú výlučne na prvú časť konania podľa odseku </w:t>
      </w:r>
      <w:r w:rsidRPr="0056569B">
        <w:rPr>
          <w:rFonts w:ascii="Arial" w:hAnsi="Arial" w:cs="Arial"/>
          <w:lang w:eastAsia="en-GB" w:bidi="en-GB"/>
        </w:rPr>
        <w:fldChar w:fldCharType="begin"/>
      </w:r>
      <w:r w:rsidRPr="0056569B">
        <w:rPr>
          <w:rFonts w:ascii="Arial" w:hAnsi="Arial" w:cs="Arial"/>
          <w:lang w:eastAsia="en-GB" w:bidi="en-GB"/>
        </w:rPr>
        <w:instrText xml:space="preserve"> REF _Ref439235820 \r \h  \* MERGEFORMAT </w:instrText>
      </w:r>
      <w:r w:rsidRPr="0056569B">
        <w:rPr>
          <w:rFonts w:ascii="Arial" w:hAnsi="Arial" w:cs="Arial"/>
          <w:lang w:eastAsia="en-GB" w:bidi="en-GB"/>
        </w:rPr>
      </w:r>
      <w:r w:rsidRPr="0056569B">
        <w:rPr>
          <w:rFonts w:ascii="Arial" w:hAnsi="Arial" w:cs="Arial"/>
          <w:lang w:eastAsia="en-GB" w:bidi="en-GB"/>
        </w:rPr>
        <w:fldChar w:fldCharType="separate"/>
      </w:r>
      <w:r w:rsidRPr="0056569B">
        <w:rPr>
          <w:rFonts w:ascii="Arial" w:hAnsi="Arial" w:cs="Arial"/>
          <w:lang w:eastAsia="en-GB" w:bidi="en-GB"/>
        </w:rPr>
        <w:t>4</w:t>
      </w:r>
      <w:r w:rsidRPr="0056569B">
        <w:rPr>
          <w:rFonts w:ascii="Arial" w:hAnsi="Arial" w:cs="Arial"/>
          <w:lang w:eastAsia="en-GB" w:bidi="en-GB"/>
        </w:rPr>
        <w:fldChar w:fldCharType="end"/>
      </w:r>
      <w:r w:rsidRPr="0056569B">
        <w:rPr>
          <w:rFonts w:ascii="Arial" w:hAnsi="Arial" w:cs="Arial"/>
          <w:lang w:eastAsia="en-GB" w:bidi="en-GB"/>
        </w:rPr>
        <w:t>. Ďalší priebeh konania týkajúci sa druhej a tretej časti určí neskoršie procesné uznesenie po konci prvej časti.]</w:t>
      </w:r>
    </w:p>
    <w:p w14:paraId="10B7005B" w14:textId="77777777" w:rsidR="00BF20F5" w:rsidRPr="0056569B" w:rsidRDefault="00BF20F5" w:rsidP="00BF20F5">
      <w:pPr>
        <w:pStyle w:val="AOA"/>
        <w:rPr>
          <w:rFonts w:ascii="Arial" w:hAnsi="Arial" w:cs="Arial"/>
          <w:b/>
          <w:sz w:val="20"/>
          <w:szCs w:val="20"/>
          <w:lang w:val="sk-SK" w:eastAsia="en-GB" w:bidi="en-GB"/>
        </w:rPr>
      </w:pPr>
      <w:r w:rsidRPr="0056569B">
        <w:rPr>
          <w:rFonts w:ascii="Arial" w:hAnsi="Arial" w:cs="Arial"/>
          <w:b/>
          <w:sz w:val="20"/>
          <w:szCs w:val="20"/>
          <w:lang w:val="sk-SK" w:eastAsia="en-GB" w:bidi="en-GB"/>
        </w:rPr>
        <w:t>PÍSOMNÉ PODANIA</w:t>
      </w:r>
    </w:p>
    <w:p w14:paraId="57956957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/>
        </w:rPr>
      </w:pPr>
      <w:r w:rsidRPr="0056569B">
        <w:rPr>
          <w:rFonts w:ascii="Arial" w:hAnsi="Arial" w:cs="Arial"/>
          <w:lang w:eastAsia="en-GB"/>
        </w:rPr>
        <w:t>Všetky písomné podania v tomto rozhodcovskom konaní musia byť najneskôr v deň lehoty/termínu na ich podanie doručené elektronickou formou a ich originálna kópia so všetkými prílohami bude zaslaná poštou alebo kuriérom najneskôr v nasledovný pracovný deň.</w:t>
      </w:r>
    </w:p>
    <w:p w14:paraId="19F716FC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Originály písomných podaní musia byť zasielané zviazané a vo formáte A4 alebo A5. Elektronické podania musia byť zasielané vo formáte PDF alebo WORD. Pokiaľ to bude možné, strany sú povinné dodať všetky dôkazy a prílohy v elektronickej podobe vo formáte, v ktorom sa dá vyhľadávať (napríklad WORD alebo OCR PDF). </w:t>
      </w:r>
    </w:p>
    <w:p w14:paraId="373975FF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>Každá strana musí prílohy svojich podaní číslovať v poradí počas celého rozhodcovského konania pre jednoduchosť orientácie (</w:t>
      </w:r>
      <w:proofErr w:type="spellStart"/>
      <w:r w:rsidRPr="0056569B">
        <w:rPr>
          <w:rFonts w:ascii="Arial" w:hAnsi="Arial" w:cs="Arial"/>
          <w:lang w:eastAsia="en-GB" w:bidi="en-GB"/>
        </w:rPr>
        <w:t>tj</w:t>
      </w:r>
      <w:proofErr w:type="spellEnd"/>
      <w:r w:rsidRPr="0056569B">
        <w:rPr>
          <w:rFonts w:ascii="Arial" w:hAnsi="Arial" w:cs="Arial"/>
          <w:lang w:eastAsia="en-GB" w:bidi="en-GB"/>
        </w:rPr>
        <w:t xml:space="preserve">. číslovanie príloh podaní po sebe nasledujúcich na seba bude nadväzovať pri žalobcovi ako ZA-1, ZA-2 ... ZA-(...), a pri žalovanom ako ZY-1, ZY-2 ... ZY-(...)). Každé podanie tiež musí mať očíslované odseky. </w:t>
      </w:r>
    </w:p>
    <w:p w14:paraId="3270972C" w14:textId="77777777" w:rsidR="00BF20F5" w:rsidRPr="0056569B" w:rsidRDefault="00BF20F5" w:rsidP="00BF20F5">
      <w:pPr>
        <w:pStyle w:val="AOA"/>
        <w:rPr>
          <w:rFonts w:ascii="Arial" w:hAnsi="Arial" w:cs="Arial"/>
          <w:b/>
          <w:sz w:val="20"/>
          <w:szCs w:val="20"/>
          <w:lang w:val="sk-SK" w:eastAsia="en-GB" w:bidi="en-GB"/>
        </w:rPr>
      </w:pPr>
      <w:r w:rsidRPr="0056569B">
        <w:rPr>
          <w:rFonts w:ascii="Arial" w:hAnsi="Arial" w:cs="Arial"/>
          <w:b/>
          <w:sz w:val="20"/>
          <w:szCs w:val="20"/>
          <w:lang w:val="sk-SK" w:eastAsia="en-GB" w:bidi="en-GB"/>
        </w:rPr>
        <w:t>PREDKLADANIE DÔKAZOV</w:t>
      </w:r>
    </w:p>
    <w:p w14:paraId="24643D2A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Strany sú povinné odkázať na všetky dôkazy, na ktoré sa v konaní spoliehajú vo svojich písomných podaniach, vrátane svedeckých vyhlásení, znaleckých posudkov a odkazov na odbornú literatúru. Všetky dôkazy tiež musia doručiť ako prílohy písomných podaní. </w:t>
      </w:r>
    </w:p>
    <w:p w14:paraId="348B475B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lastRenderedPageBreak/>
        <w:t xml:space="preserve">[POZN.: Môže sa stanoviť, že postačujú neúradné preklady, ak ich protistrana </w:t>
      </w:r>
      <w:proofErr w:type="spellStart"/>
      <w:r w:rsidRPr="0056569B">
        <w:rPr>
          <w:rFonts w:ascii="Arial" w:hAnsi="Arial" w:cs="Arial"/>
          <w:lang w:eastAsia="en-GB" w:bidi="en-GB"/>
        </w:rPr>
        <w:t>nerozporuje</w:t>
      </w:r>
      <w:proofErr w:type="spellEnd"/>
      <w:r w:rsidRPr="0056569B">
        <w:rPr>
          <w:rFonts w:ascii="Arial" w:hAnsi="Arial" w:cs="Arial"/>
          <w:lang w:eastAsia="en-GB" w:bidi="en-GB"/>
        </w:rPr>
        <w:t>, resp. že postačuje preklad ten časti, na ktorú sa strana odvoláva]</w:t>
      </w:r>
    </w:p>
    <w:p w14:paraId="5E3D3264" w14:textId="77777777" w:rsidR="00BF20F5" w:rsidRPr="0056569B" w:rsidRDefault="00BF20F5" w:rsidP="00BF20F5">
      <w:pPr>
        <w:pStyle w:val="AOA"/>
        <w:rPr>
          <w:rFonts w:ascii="Arial" w:hAnsi="Arial" w:cs="Arial"/>
          <w:b/>
          <w:sz w:val="20"/>
          <w:szCs w:val="20"/>
          <w:lang w:val="sk-SK" w:eastAsia="en-GB" w:bidi="en-GB"/>
        </w:rPr>
      </w:pPr>
      <w:r w:rsidRPr="0056569B">
        <w:rPr>
          <w:rFonts w:ascii="Arial" w:hAnsi="Arial" w:cs="Arial"/>
          <w:b/>
          <w:sz w:val="20"/>
          <w:szCs w:val="20"/>
          <w:lang w:val="sk-SK" w:eastAsia="en-GB" w:bidi="en-GB"/>
        </w:rPr>
        <w:t xml:space="preserve">ZÁLEŽITOSTI PRED ÚSTNYM POJEDNÁVANÍM </w:t>
      </w:r>
    </w:p>
    <w:p w14:paraId="6CC31957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>Každá zo strán musí určiť mená všetkých svedkov a znalcov, ktorých výsluch chce na ústnom pojednávaní vykonať v lehote stanovenej rozhodcovským senátom.</w:t>
      </w:r>
    </w:p>
    <w:p w14:paraId="13B017D8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Pokiaľ to bude potrebné, v čase 1-2 týždňov pred ústnym pojednávaním sa uskutoční organizačná telefonická konferencia za účasti rozhodcovského senátu a strán. [POZN.: </w:t>
      </w:r>
      <w:r w:rsidRPr="0056569B">
        <w:rPr>
          <w:rFonts w:ascii="Arial" w:hAnsi="Arial" w:cs="Arial"/>
        </w:rPr>
        <w:t>Pre lepšiu ilustráciu možno doplniť témy, ktoré môžu byť predmetom tejto diskusie (viď napr. bod 15.1 ICCA Model PO)].</w:t>
      </w:r>
    </w:p>
    <w:p w14:paraId="658F690C" w14:textId="77777777" w:rsidR="00BF20F5" w:rsidRPr="0056569B" w:rsidRDefault="00BF20F5" w:rsidP="00BF20F5">
      <w:pPr>
        <w:pStyle w:val="AOA"/>
        <w:rPr>
          <w:rFonts w:ascii="Arial" w:hAnsi="Arial" w:cs="Arial"/>
          <w:b/>
          <w:sz w:val="20"/>
          <w:szCs w:val="20"/>
          <w:lang w:val="sk-SK" w:eastAsia="en-GB" w:bidi="en-GB"/>
        </w:rPr>
      </w:pPr>
      <w:bookmarkStart w:id="3" w:name="_Ref439235794"/>
      <w:r w:rsidRPr="0056569B">
        <w:rPr>
          <w:rFonts w:ascii="Arial" w:hAnsi="Arial" w:cs="Arial"/>
          <w:b/>
          <w:sz w:val="20"/>
          <w:szCs w:val="20"/>
          <w:lang w:val="sk-SK" w:eastAsia="en-GB" w:bidi="en-GB"/>
        </w:rPr>
        <w:t>ÚSTNE POJEDNÁVANIE</w:t>
      </w:r>
      <w:bookmarkEnd w:id="3"/>
      <w:r w:rsidRPr="0056569B">
        <w:rPr>
          <w:rFonts w:ascii="Arial" w:hAnsi="Arial" w:cs="Arial"/>
          <w:b/>
          <w:sz w:val="20"/>
          <w:szCs w:val="20"/>
          <w:lang w:val="sk-SK" w:eastAsia="en-GB" w:bidi="en-GB"/>
        </w:rPr>
        <w:t xml:space="preserve"> </w:t>
      </w:r>
    </w:p>
    <w:p w14:paraId="49BDD850" w14:textId="77777777" w:rsidR="00B6368A" w:rsidRPr="0056569B" w:rsidRDefault="00B6368A" w:rsidP="00B6368A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>Ak ani jedna zo strán nepožiada o uskutočnenie ústneho pojednávania, o tom, či v konaní bude alebo nebude nariadené ústne pojednávanie, rozhodne rozhodcovský senát.</w:t>
      </w:r>
    </w:p>
    <w:p w14:paraId="13203E92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>Ústne pojednávanie sa uskutoční v Bratislave, v priestoroch SAK alebo na inom vhodnom mieste, na ktorom sa strany dohodnú alebo ktoré určí rozhodcovský senát, v termíne stanovenom rozhodcovským senátom po konzultácii so stranami. Uskutočnenie ústneho pojednávania na inom mieste ako v Bratislave nebude mať za následok zmenu miesta rozhodcovského konania, ktorým je Bratislava.</w:t>
      </w:r>
    </w:p>
    <w:p w14:paraId="570D21C8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Trvanie ústneho pojednávania stanoví rozhodcovský senát. Strany môžu rozhodcovský senát požiadať o dlhšie trvanie ústneho pojednávania v prípade, že to považujú za dôležité pre dostatočné zabezpečenie ich práva na spravodlivý proces. </w:t>
      </w:r>
    </w:p>
    <w:p w14:paraId="2DD5DF15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Svedkovia alebo znalci môžu byť vypočúvaní prostredníctvom video prenosu, ak to rozhodcovský senát odsúhlasí. </w:t>
      </w:r>
    </w:p>
    <w:p w14:paraId="00DBF1EA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Pre vylúčenie pochybností, ktorákoľvek so strán môže počas ústneho pojednávania používať prezentácie, tabuľky alebo podobné materiály odkazujúce na dôkazy, ktoré boli už v konaní predložené v písomných podaniach. Prostredníctvom takýchto materiálov nie je možné predkladať nové dôkazy. </w:t>
      </w:r>
    </w:p>
    <w:p w14:paraId="10DC43DA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 xml:space="preserve">Z priebehu ústneho pojednávania sa vyhotoví zvuková nahrávka [a prípadne aj prepis]. Strany môžu do 15 dní odo dňa doručenia prepisu a nahrávky ústneho pojednávania, podľa toho ktorá skutočnosť nastane neskôr, namietať obsah prepisu, aby bol v súlade s nahrávkou. </w:t>
      </w:r>
    </w:p>
    <w:p w14:paraId="6D23AB41" w14:textId="77777777" w:rsidR="00BF20F5" w:rsidRPr="0056569B" w:rsidRDefault="00BF20F5" w:rsidP="00BF20F5">
      <w:pPr>
        <w:numPr>
          <w:ilvl w:val="0"/>
          <w:numId w:val="6"/>
        </w:numPr>
        <w:spacing w:before="240" w:line="260" w:lineRule="atLeast"/>
        <w:jc w:val="both"/>
        <w:rPr>
          <w:rFonts w:ascii="Arial" w:hAnsi="Arial" w:cs="Arial"/>
          <w:lang w:eastAsia="en-GB" w:bidi="en-GB"/>
        </w:rPr>
      </w:pPr>
      <w:r w:rsidRPr="0056569B">
        <w:rPr>
          <w:rFonts w:ascii="Arial" w:hAnsi="Arial" w:cs="Arial"/>
          <w:lang w:eastAsia="en-GB" w:bidi="en-GB"/>
        </w:rPr>
        <w:t>Stranám bude umožnené podanie písomného vyjadrenia k priebehu ústneho pojednávania a to v lehote určenej rozhodcovským senátom, avšak najmenej 15 dní odo dňa skončenia ústneho pojednávania. V tomto vyjadrení si strany tiež vyčíslia trovy tohto rozhodcovského konania.</w:t>
      </w:r>
    </w:p>
    <w:p w14:paraId="0C6DD6A3" w14:textId="77777777" w:rsidR="00BF20F5" w:rsidRPr="0056569B" w:rsidRDefault="00BF20F5" w:rsidP="00BF20F5">
      <w:pPr>
        <w:pStyle w:val="AOA"/>
        <w:rPr>
          <w:rFonts w:ascii="Arial" w:hAnsi="Arial" w:cs="Arial"/>
          <w:b/>
          <w:sz w:val="20"/>
          <w:szCs w:val="20"/>
          <w:lang w:val="sk-SK" w:eastAsia="en-GB" w:bidi="en-GB"/>
        </w:rPr>
      </w:pPr>
      <w:r w:rsidRPr="0056569B">
        <w:rPr>
          <w:rFonts w:ascii="Arial" w:hAnsi="Arial" w:cs="Arial"/>
          <w:b/>
          <w:sz w:val="20"/>
          <w:szCs w:val="20"/>
          <w:lang w:val="sk-SK" w:eastAsia="en-GB" w:bidi="en-GB"/>
        </w:rPr>
        <w:lastRenderedPageBreak/>
        <w:t>VŠEOBECNÉ USTANOVENIE K LEHOTÁM/TERMÍNOM</w:t>
      </w:r>
    </w:p>
    <w:p w14:paraId="6CCFEA61" w14:textId="77777777" w:rsidR="00BF20F5" w:rsidRPr="0056569B" w:rsidRDefault="00BF20F5" w:rsidP="00BF20F5">
      <w:pPr>
        <w:pStyle w:val="AOHead1"/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</w:pPr>
      <w:r w:rsidRPr="0056569B"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  <w:t xml:space="preserve">Strany si môžu dohodnúť zmenu ktorejkoľvek lehoty/termínu na uskutočnenie úkonu niektorou zo strán podľa tohto procesného uznesenia. Ak k dohode nedôjde, predseda rozhodcovského senátu môže ktorúkoľvek lehotu/termín podľa tohto procesného uznesenia a každú ďalšiu lehotu/termín v tomto rozhodcovskom konaní zmeniť podľa vlastného uváženia alebo na návrh ktorejkoľvek so strán. Návrh na zmenu lehoty/termínu musí byť stranou odôvodnený a doručený predsedovi rozhodcovského senátu aspoň 5 dní pred uplynutím lehoty/termínu. </w:t>
      </w:r>
    </w:p>
    <w:p w14:paraId="7F5F69CB" w14:textId="77777777" w:rsidR="00BF20F5" w:rsidRPr="0056569B" w:rsidRDefault="00BF20F5" w:rsidP="00BF20F5">
      <w:pPr>
        <w:pStyle w:val="AOA"/>
        <w:rPr>
          <w:rFonts w:ascii="Arial" w:hAnsi="Arial" w:cs="Arial"/>
          <w:b/>
          <w:caps/>
          <w:sz w:val="20"/>
          <w:szCs w:val="20"/>
          <w:lang w:val="sk-SK" w:eastAsia="en-GB" w:bidi="en-GB"/>
        </w:rPr>
      </w:pPr>
      <w:r w:rsidRPr="0056569B">
        <w:rPr>
          <w:rFonts w:ascii="Arial" w:hAnsi="Arial" w:cs="Arial"/>
          <w:b/>
          <w:caps/>
          <w:sz w:val="20"/>
          <w:szCs w:val="20"/>
          <w:lang w:val="sk-SK" w:eastAsia="en-GB" w:bidi="en-GB"/>
        </w:rPr>
        <w:t>KOmunikácia</w:t>
      </w:r>
    </w:p>
    <w:p w14:paraId="0A6A99F2" w14:textId="77777777" w:rsidR="00BF20F5" w:rsidRPr="0056569B" w:rsidRDefault="00BF20F5" w:rsidP="00BF20F5">
      <w:pPr>
        <w:pStyle w:val="AOHead1"/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</w:pPr>
      <w:r w:rsidRPr="0056569B"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  <w:t>[</w:t>
      </w:r>
      <w:r w:rsidRPr="0056569B">
        <w:rPr>
          <w:rFonts w:ascii="Arial" w:hAnsi="Arial" w:cs="Arial"/>
          <w:sz w:val="20"/>
          <w:szCs w:val="20"/>
          <w:lang w:val="sk-SK" w:eastAsia="en-GB" w:bidi="en-GB"/>
        </w:rPr>
        <w:t>POZN.:</w:t>
      </w:r>
      <w:r w:rsidRPr="0056569B">
        <w:rPr>
          <w:rFonts w:ascii="Arial" w:hAnsi="Arial" w:cs="Arial"/>
          <w:b w:val="0"/>
          <w:sz w:val="20"/>
          <w:szCs w:val="20"/>
          <w:lang w:val="sk-SK" w:eastAsia="en-GB" w:bidi="en-GB"/>
        </w:rPr>
        <w:t xml:space="preserve"> </w:t>
      </w:r>
      <w:r w:rsidRPr="0056569B"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  <w:t>Doplnia sa adresy na doručovanie]</w:t>
      </w:r>
    </w:p>
    <w:p w14:paraId="36A07C82" w14:textId="5EF34FAC" w:rsidR="00BF20F5" w:rsidRPr="0056569B" w:rsidRDefault="00BF20F5" w:rsidP="00BF20F5">
      <w:pPr>
        <w:pStyle w:val="AOHead1"/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</w:pPr>
      <w:r w:rsidRPr="0056569B"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  <w:t>[</w:t>
      </w:r>
      <w:r w:rsidRPr="0056569B">
        <w:rPr>
          <w:rFonts w:ascii="Arial" w:hAnsi="Arial" w:cs="Arial"/>
          <w:sz w:val="20"/>
          <w:szCs w:val="20"/>
          <w:lang w:val="sk-SK" w:eastAsia="en-GB" w:bidi="en-GB"/>
        </w:rPr>
        <w:t>POZN.:</w:t>
      </w:r>
      <w:r w:rsidRPr="0056569B">
        <w:rPr>
          <w:rFonts w:ascii="Arial" w:hAnsi="Arial" w:cs="Arial"/>
          <w:b w:val="0"/>
          <w:sz w:val="20"/>
          <w:szCs w:val="20"/>
          <w:lang w:val="sk-SK" w:eastAsia="en-GB" w:bidi="en-GB"/>
        </w:rPr>
        <w:t xml:space="preserve"> </w:t>
      </w:r>
      <w:r w:rsidRPr="0056569B"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  <w:t>Môže sa výslovne</w:t>
      </w:r>
      <w:r w:rsidR="0056569B"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  <w:t xml:space="preserve"> </w:t>
      </w:r>
      <w:r w:rsidRPr="0056569B"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  <w:t>doplniť</w:t>
      </w:r>
      <w:r w:rsidR="0056569B"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  <w:t xml:space="preserve"> </w:t>
      </w:r>
      <w:r w:rsidRPr="0056569B">
        <w:rPr>
          <w:rFonts w:ascii="Arial" w:hAnsi="Arial" w:cs="Arial"/>
          <w:b w:val="0"/>
          <w:caps w:val="0"/>
          <w:sz w:val="20"/>
          <w:szCs w:val="20"/>
          <w:lang w:val="sk-SK" w:eastAsia="en-GB" w:bidi="en-GB"/>
        </w:rPr>
        <w:t>zákaz ex parte komunikácie s rozhodcovským senátom (viď napr. bod 1.5 ICCA Model PO)].</w:t>
      </w:r>
    </w:p>
    <w:p w14:paraId="45D5456B" w14:textId="77777777" w:rsidR="00BF20F5" w:rsidRPr="0056569B" w:rsidRDefault="00BF20F5" w:rsidP="00BF20F5">
      <w:pPr>
        <w:pStyle w:val="AOHead1"/>
        <w:numPr>
          <w:ilvl w:val="0"/>
          <w:numId w:val="0"/>
        </w:numPr>
        <w:rPr>
          <w:rFonts w:ascii="Arial" w:eastAsia="Courier New" w:hAnsi="Arial" w:cs="Arial"/>
          <w:b w:val="0"/>
          <w:caps w:val="0"/>
          <w:color w:val="000000"/>
          <w:sz w:val="20"/>
          <w:szCs w:val="20"/>
          <w:lang w:val="sk-SK" w:eastAsia="en-GB" w:bidi="en-GB"/>
        </w:rPr>
      </w:pPr>
      <w:r w:rsidRPr="0056569B">
        <w:rPr>
          <w:rFonts w:ascii="Arial" w:eastAsia="Courier New" w:hAnsi="Arial" w:cs="Arial"/>
          <w:b w:val="0"/>
          <w:caps w:val="0"/>
          <w:color w:val="000000"/>
          <w:sz w:val="20"/>
          <w:szCs w:val="20"/>
          <w:lang w:val="sk-SK" w:eastAsia="en-GB" w:bidi="en-GB"/>
        </w:rPr>
        <w:t>Miesto rozhodcovského konania: Bratislava, Slovenská republika</w:t>
      </w:r>
    </w:p>
    <w:p w14:paraId="21D4EA92" w14:textId="77777777" w:rsidR="00BF20F5" w:rsidRPr="0056569B" w:rsidRDefault="00BF20F5" w:rsidP="00BF20F5">
      <w:pPr>
        <w:widowControl w:val="0"/>
        <w:spacing w:line="480" w:lineRule="auto"/>
        <w:ind w:left="720" w:hanging="720"/>
        <w:jc w:val="both"/>
        <w:rPr>
          <w:rFonts w:ascii="Arial" w:eastAsia="Courier New" w:hAnsi="Arial" w:cs="Arial"/>
          <w:color w:val="000000"/>
          <w:lang w:eastAsia="en-GB" w:bidi="en-GB"/>
        </w:rPr>
      </w:pPr>
    </w:p>
    <w:p w14:paraId="0037AE92" w14:textId="77777777" w:rsidR="00BF20F5" w:rsidRPr="0056569B" w:rsidRDefault="00BF20F5" w:rsidP="00BF20F5">
      <w:pPr>
        <w:widowControl w:val="0"/>
        <w:spacing w:line="480" w:lineRule="auto"/>
        <w:ind w:left="720" w:hanging="720"/>
        <w:jc w:val="both"/>
        <w:rPr>
          <w:rFonts w:ascii="Arial" w:eastAsia="Courier New" w:hAnsi="Arial" w:cs="Arial"/>
          <w:color w:val="000000"/>
          <w:lang w:eastAsia="en-GB" w:bidi="en-GB"/>
        </w:rPr>
      </w:pPr>
      <w:r w:rsidRPr="0056569B">
        <w:rPr>
          <w:rFonts w:ascii="Arial" w:eastAsia="Courier New" w:hAnsi="Arial" w:cs="Arial"/>
          <w:color w:val="000000"/>
          <w:lang w:eastAsia="en-GB" w:bidi="en-GB"/>
        </w:rPr>
        <w:t>Dátum: […]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851"/>
        <w:gridCol w:w="4927"/>
      </w:tblGrid>
      <w:tr w:rsidR="00BF20F5" w:rsidRPr="0056569B" w14:paraId="325FF56C" w14:textId="77777777" w:rsidTr="0052310F">
        <w:tc>
          <w:tcPr>
            <w:tcW w:w="9855" w:type="dxa"/>
            <w:gridSpan w:val="3"/>
            <w:vAlign w:val="center"/>
            <w:hideMark/>
          </w:tcPr>
          <w:p w14:paraId="7330CE1C" w14:textId="77777777" w:rsidR="00BF20F5" w:rsidRPr="0056569B" w:rsidRDefault="00BF20F5" w:rsidP="0052310F">
            <w:pPr>
              <w:jc w:val="center"/>
              <w:rPr>
                <w:rFonts w:ascii="Arial" w:hAnsi="Arial" w:cs="Arial"/>
                <w:b/>
              </w:rPr>
            </w:pPr>
            <w:r w:rsidRPr="0056569B">
              <w:rPr>
                <w:rFonts w:ascii="Arial" w:eastAsia="Calibri" w:hAnsi="Arial" w:cs="Arial"/>
                <w:b/>
                <w:lang w:eastAsia="en-US"/>
              </w:rPr>
              <w:t>Rozhodcovský senát</w:t>
            </w:r>
          </w:p>
        </w:tc>
      </w:tr>
      <w:tr w:rsidR="00BF20F5" w:rsidRPr="0056569B" w14:paraId="033E7D46" w14:textId="77777777" w:rsidTr="0052310F">
        <w:trPr>
          <w:trHeight w:val="1758"/>
        </w:trPr>
        <w:tc>
          <w:tcPr>
            <w:tcW w:w="9855" w:type="dxa"/>
            <w:gridSpan w:val="3"/>
            <w:vAlign w:val="bottom"/>
          </w:tcPr>
          <w:p w14:paraId="2656EBA8" w14:textId="77777777" w:rsidR="00BF20F5" w:rsidRPr="0056569B" w:rsidRDefault="00BF20F5" w:rsidP="0052310F">
            <w:pPr>
              <w:spacing w:before="240" w:line="260" w:lineRule="atLeast"/>
              <w:jc w:val="center"/>
              <w:rPr>
                <w:rFonts w:ascii="Arial" w:hAnsi="Arial" w:cs="Arial"/>
              </w:rPr>
            </w:pPr>
            <w:r w:rsidRPr="0056569B">
              <w:rPr>
                <w:rFonts w:ascii="Arial" w:eastAsia="Calibri" w:hAnsi="Arial" w:cs="Arial"/>
                <w:lang w:eastAsia="en-US"/>
              </w:rPr>
              <w:t>___________________________</w:t>
            </w:r>
          </w:p>
          <w:p w14:paraId="6F9B4114" w14:textId="77777777" w:rsidR="00BF20F5" w:rsidRPr="0056569B" w:rsidRDefault="00BF20F5" w:rsidP="0052310F">
            <w:pPr>
              <w:spacing w:line="260" w:lineRule="atLeast"/>
              <w:jc w:val="center"/>
              <w:rPr>
                <w:rFonts w:ascii="Arial" w:hAnsi="Arial" w:cs="Arial"/>
              </w:rPr>
            </w:pPr>
          </w:p>
          <w:p w14:paraId="321C8D2F" w14:textId="77777777" w:rsidR="00BF20F5" w:rsidRPr="0056569B" w:rsidRDefault="00BF20F5" w:rsidP="0052310F">
            <w:pPr>
              <w:spacing w:after="120"/>
              <w:jc w:val="center"/>
              <w:rPr>
                <w:rFonts w:ascii="Arial" w:hAnsi="Arial" w:cs="Arial"/>
              </w:rPr>
            </w:pPr>
            <w:r w:rsidRPr="0056569B">
              <w:rPr>
                <w:rFonts w:ascii="Arial" w:eastAsia="Courier New" w:hAnsi="Arial" w:cs="Arial"/>
                <w:color w:val="000000"/>
                <w:lang w:val="en-US" w:eastAsia="en-GB" w:bidi="en-GB"/>
              </w:rPr>
              <w:t>[…]</w:t>
            </w:r>
          </w:p>
          <w:p w14:paraId="0C6113BA" w14:textId="77777777" w:rsidR="00BF20F5" w:rsidRPr="0056569B" w:rsidRDefault="00BF20F5" w:rsidP="0052310F">
            <w:pPr>
              <w:jc w:val="center"/>
              <w:rPr>
                <w:rFonts w:ascii="Arial" w:hAnsi="Arial" w:cs="Arial"/>
              </w:rPr>
            </w:pPr>
            <w:r w:rsidRPr="0056569B">
              <w:rPr>
                <w:rFonts w:ascii="Arial" w:eastAsia="Calibri" w:hAnsi="Arial" w:cs="Arial"/>
                <w:lang w:eastAsia="en-US"/>
              </w:rPr>
              <w:t>Predseda rozhodcovského senátu</w:t>
            </w:r>
          </w:p>
        </w:tc>
      </w:tr>
      <w:tr w:rsidR="00BF20F5" w:rsidRPr="0056569B" w14:paraId="59560841" w14:textId="77777777" w:rsidTr="0052310F">
        <w:trPr>
          <w:trHeight w:val="1706"/>
        </w:trPr>
        <w:tc>
          <w:tcPr>
            <w:tcW w:w="4077" w:type="dxa"/>
            <w:shd w:val="clear" w:color="auto" w:fill="auto"/>
            <w:vAlign w:val="center"/>
          </w:tcPr>
          <w:p w14:paraId="0F588A79" w14:textId="77777777" w:rsidR="00BF20F5" w:rsidRPr="0056569B" w:rsidRDefault="00BF20F5" w:rsidP="0052310F">
            <w:pPr>
              <w:pStyle w:val="AODocTx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6569B">
              <w:rPr>
                <w:rFonts w:ascii="Arial" w:hAnsi="Arial" w:cs="Arial"/>
                <w:sz w:val="20"/>
                <w:szCs w:val="20"/>
                <w:lang w:val="de-DE"/>
              </w:rPr>
              <w:t>____________________________</w:t>
            </w:r>
          </w:p>
          <w:p w14:paraId="52C50599" w14:textId="77777777" w:rsidR="00BF20F5" w:rsidRPr="0056569B" w:rsidRDefault="00BF20F5" w:rsidP="0052310F">
            <w:pPr>
              <w:pStyle w:val="AODocTx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6569B">
              <w:rPr>
                <w:rFonts w:ascii="Arial" w:eastAsia="Courier New" w:hAnsi="Arial" w:cs="Arial"/>
                <w:color w:val="000000"/>
                <w:sz w:val="20"/>
                <w:szCs w:val="20"/>
                <w:lang w:val="en-US" w:eastAsia="en-GB" w:bidi="en-GB"/>
              </w:rPr>
              <w:t>[…]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748D8E" w14:textId="77777777" w:rsidR="00BF20F5" w:rsidRPr="0056569B" w:rsidRDefault="00BF20F5" w:rsidP="0052310F">
            <w:pPr>
              <w:pStyle w:val="AODocTx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927" w:type="dxa"/>
            <w:shd w:val="clear" w:color="auto" w:fill="auto"/>
            <w:vAlign w:val="center"/>
          </w:tcPr>
          <w:p w14:paraId="71676BA8" w14:textId="77777777" w:rsidR="00BF20F5" w:rsidRPr="0056569B" w:rsidRDefault="00BF20F5" w:rsidP="0052310F">
            <w:pPr>
              <w:pStyle w:val="AODocTx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6569B">
              <w:rPr>
                <w:rFonts w:ascii="Arial" w:hAnsi="Arial" w:cs="Arial"/>
                <w:sz w:val="20"/>
                <w:szCs w:val="20"/>
                <w:lang w:val="de-DE"/>
              </w:rPr>
              <w:t>_________________________________</w:t>
            </w:r>
          </w:p>
          <w:p w14:paraId="2799FB9A" w14:textId="77777777" w:rsidR="00BF20F5" w:rsidRPr="0056569B" w:rsidRDefault="00BF20F5" w:rsidP="0052310F">
            <w:pPr>
              <w:pStyle w:val="AODocTx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6569B">
              <w:rPr>
                <w:rFonts w:ascii="Arial" w:eastAsia="Courier New" w:hAnsi="Arial" w:cs="Arial"/>
                <w:color w:val="000000"/>
                <w:sz w:val="20"/>
                <w:szCs w:val="20"/>
                <w:lang w:val="en-US" w:eastAsia="en-GB" w:bidi="en-GB"/>
              </w:rPr>
              <w:t>[…]</w:t>
            </w:r>
          </w:p>
        </w:tc>
      </w:tr>
    </w:tbl>
    <w:p w14:paraId="54878020" w14:textId="77777777" w:rsidR="00BF20F5" w:rsidRPr="0056569B" w:rsidRDefault="00BF20F5" w:rsidP="00BF20F5">
      <w:pPr>
        <w:pStyle w:val="AOSchHead"/>
        <w:rPr>
          <w:rFonts w:ascii="Arial" w:hAnsi="Arial" w:cs="Arial"/>
          <w:sz w:val="20"/>
          <w:szCs w:val="20"/>
          <w:lang w:val="de-DE"/>
        </w:rPr>
      </w:pPr>
      <w:bookmarkStart w:id="4" w:name="_Ref440021579"/>
    </w:p>
    <w:bookmarkEnd w:id="4"/>
    <w:p w14:paraId="6D4B35A5" w14:textId="77777777" w:rsidR="00BF20F5" w:rsidRPr="0056569B" w:rsidRDefault="00BF20F5" w:rsidP="00BF20F5">
      <w:pPr>
        <w:pStyle w:val="AOSchTitle"/>
        <w:rPr>
          <w:rFonts w:ascii="Arial" w:hAnsi="Arial" w:cs="Arial"/>
          <w:sz w:val="20"/>
          <w:szCs w:val="20"/>
        </w:rPr>
      </w:pPr>
      <w:r w:rsidRPr="0056569B">
        <w:rPr>
          <w:rFonts w:ascii="Arial" w:hAnsi="Arial" w:cs="Arial"/>
          <w:sz w:val="20"/>
          <w:szCs w:val="20"/>
        </w:rPr>
        <w:t>ČASOVÝ HARMONOGRAM KONANIA</w:t>
      </w:r>
    </w:p>
    <w:p w14:paraId="7955FBF7" w14:textId="77777777" w:rsidR="00BF20F5" w:rsidRPr="0056569B" w:rsidRDefault="00BF20F5" w:rsidP="00BF20F5">
      <w:pPr>
        <w:pStyle w:val="AODocTx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5553"/>
        <w:gridCol w:w="2085"/>
      </w:tblGrid>
      <w:tr w:rsidR="00BF20F5" w:rsidRPr="0056569B" w14:paraId="747D6634" w14:textId="77777777" w:rsidTr="0056569B">
        <w:tc>
          <w:tcPr>
            <w:tcW w:w="1082" w:type="dxa"/>
            <w:shd w:val="clear" w:color="auto" w:fill="auto"/>
          </w:tcPr>
          <w:p w14:paraId="72B02AD6" w14:textId="77777777" w:rsidR="00BF20F5" w:rsidRPr="0056569B" w:rsidRDefault="00BF20F5" w:rsidP="0052310F">
            <w:pPr>
              <w:spacing w:before="240" w:line="260" w:lineRule="atLeast"/>
              <w:jc w:val="both"/>
              <w:rPr>
                <w:rFonts w:ascii="Arial" w:eastAsia="Courier New" w:hAnsi="Arial" w:cs="Arial"/>
                <w:b/>
                <w:color w:val="000000"/>
                <w:lang w:eastAsia="en-GB" w:bidi="en-GB"/>
              </w:rPr>
            </w:pPr>
            <w:r w:rsidRPr="0056569B">
              <w:rPr>
                <w:rFonts w:ascii="Arial" w:eastAsia="Courier New" w:hAnsi="Arial" w:cs="Arial"/>
                <w:b/>
                <w:color w:val="000000"/>
                <w:lang w:eastAsia="en-GB" w:bidi="en-GB"/>
              </w:rPr>
              <w:t>Strana</w:t>
            </w:r>
          </w:p>
        </w:tc>
        <w:tc>
          <w:tcPr>
            <w:tcW w:w="5553" w:type="dxa"/>
            <w:shd w:val="clear" w:color="auto" w:fill="auto"/>
          </w:tcPr>
          <w:p w14:paraId="6B685A89" w14:textId="77777777" w:rsidR="00BF20F5" w:rsidRPr="0056569B" w:rsidRDefault="00BF20F5" w:rsidP="0052310F">
            <w:pPr>
              <w:spacing w:before="240" w:line="260" w:lineRule="atLeast"/>
              <w:jc w:val="both"/>
              <w:rPr>
                <w:rFonts w:ascii="Arial" w:eastAsia="Courier New" w:hAnsi="Arial" w:cs="Arial"/>
                <w:b/>
                <w:color w:val="000000"/>
                <w:lang w:eastAsia="en-GB" w:bidi="en-GB"/>
              </w:rPr>
            </w:pPr>
            <w:r w:rsidRPr="0056569B">
              <w:rPr>
                <w:rFonts w:ascii="Arial" w:eastAsia="Courier New" w:hAnsi="Arial" w:cs="Arial"/>
                <w:b/>
                <w:color w:val="000000"/>
                <w:lang w:eastAsia="en-GB" w:bidi="en-GB"/>
              </w:rPr>
              <w:t>Podanie</w:t>
            </w:r>
          </w:p>
        </w:tc>
        <w:tc>
          <w:tcPr>
            <w:tcW w:w="2085" w:type="dxa"/>
            <w:shd w:val="clear" w:color="auto" w:fill="auto"/>
          </w:tcPr>
          <w:p w14:paraId="1D663148" w14:textId="17114E54" w:rsidR="00BF20F5" w:rsidRPr="0056569B" w:rsidRDefault="00BF20F5" w:rsidP="0056569B">
            <w:pPr>
              <w:spacing w:before="240" w:line="260" w:lineRule="atLeast"/>
              <w:jc w:val="both"/>
              <w:rPr>
                <w:rFonts w:ascii="Arial" w:eastAsia="Courier New" w:hAnsi="Arial" w:cs="Arial"/>
                <w:b/>
                <w:color w:val="000000"/>
                <w:lang w:eastAsia="en-GB" w:bidi="en-GB"/>
              </w:rPr>
            </w:pPr>
            <w:r w:rsidRPr="0056569B">
              <w:rPr>
                <w:rFonts w:ascii="Arial" w:eastAsia="Courier New" w:hAnsi="Arial" w:cs="Arial"/>
                <w:b/>
                <w:color w:val="000000"/>
                <w:lang w:eastAsia="en-GB" w:bidi="en-GB"/>
              </w:rPr>
              <w:t>Termín</w:t>
            </w:r>
            <w:r w:rsidR="0056569B">
              <w:rPr>
                <w:rFonts w:ascii="Arial" w:eastAsia="Courier New" w:hAnsi="Arial" w:cs="Arial"/>
                <w:b/>
                <w:color w:val="000000"/>
                <w:lang w:eastAsia="en-GB" w:bidi="en-GB"/>
              </w:rPr>
              <w:t xml:space="preserve"> </w:t>
            </w:r>
            <w:r w:rsidRPr="0056569B">
              <w:rPr>
                <w:rFonts w:ascii="Arial" w:eastAsia="Courier New" w:hAnsi="Arial" w:cs="Arial"/>
                <w:b/>
                <w:color w:val="000000"/>
                <w:lang w:eastAsia="en-GB" w:bidi="en-GB"/>
              </w:rPr>
              <w:t xml:space="preserve">na podanie </w:t>
            </w:r>
          </w:p>
        </w:tc>
      </w:tr>
      <w:tr w:rsidR="00BF20F5" w:rsidRPr="0056569B" w14:paraId="5CA7D687" w14:textId="77777777" w:rsidTr="0056569B">
        <w:tc>
          <w:tcPr>
            <w:tcW w:w="1082" w:type="dxa"/>
            <w:shd w:val="clear" w:color="auto" w:fill="auto"/>
          </w:tcPr>
          <w:p w14:paraId="09C6CAEF" w14:textId="77777777" w:rsidR="00BF20F5" w:rsidRPr="0056569B" w:rsidRDefault="00BF20F5" w:rsidP="0052310F">
            <w:pPr>
              <w:spacing w:before="240" w:line="260" w:lineRule="atLeast"/>
              <w:jc w:val="both"/>
              <w:rPr>
                <w:rFonts w:ascii="Arial" w:eastAsia="Courier New" w:hAnsi="Arial" w:cs="Arial"/>
                <w:color w:val="000000"/>
                <w:lang w:eastAsia="en-GB" w:bidi="en-GB"/>
              </w:rPr>
            </w:pPr>
            <w:r w:rsidRPr="0056569B">
              <w:rPr>
                <w:rFonts w:ascii="Arial" w:eastAsia="Calibri" w:hAnsi="Arial" w:cs="Arial"/>
                <w:lang w:eastAsia="en-GB" w:bidi="en-GB"/>
              </w:rPr>
              <w:t>Žalobca</w:t>
            </w:r>
          </w:p>
        </w:tc>
        <w:tc>
          <w:tcPr>
            <w:tcW w:w="5553" w:type="dxa"/>
            <w:shd w:val="clear" w:color="auto" w:fill="auto"/>
          </w:tcPr>
          <w:p w14:paraId="2A63F7FC" w14:textId="77777777" w:rsidR="00BF20F5" w:rsidRPr="0056569B" w:rsidRDefault="00BF20F5" w:rsidP="0052310F">
            <w:pPr>
              <w:spacing w:before="240" w:line="260" w:lineRule="atLeast"/>
              <w:jc w:val="both"/>
              <w:rPr>
                <w:rFonts w:ascii="Arial" w:eastAsia="Courier New" w:hAnsi="Arial" w:cs="Arial"/>
                <w:color w:val="000000"/>
                <w:lang w:eastAsia="en-GB" w:bidi="en-GB"/>
              </w:rPr>
            </w:pPr>
            <w:r w:rsidRPr="0056569B">
              <w:rPr>
                <w:rFonts w:ascii="Arial" w:eastAsia="Courier New" w:hAnsi="Arial" w:cs="Arial"/>
                <w:color w:val="000000"/>
                <w:lang w:val="en-US" w:eastAsia="en-GB" w:bidi="en-GB"/>
              </w:rPr>
              <w:t>[…]</w:t>
            </w:r>
          </w:p>
        </w:tc>
        <w:tc>
          <w:tcPr>
            <w:tcW w:w="2085" w:type="dxa"/>
            <w:shd w:val="clear" w:color="auto" w:fill="auto"/>
          </w:tcPr>
          <w:p w14:paraId="582D4B1F" w14:textId="77777777" w:rsidR="00BF20F5" w:rsidRPr="0056569B" w:rsidRDefault="00BF20F5" w:rsidP="0052310F">
            <w:pPr>
              <w:spacing w:before="240" w:line="260" w:lineRule="atLeast"/>
              <w:jc w:val="both"/>
              <w:rPr>
                <w:rFonts w:ascii="Arial" w:eastAsia="Courier New" w:hAnsi="Arial" w:cs="Arial"/>
                <w:color w:val="000000"/>
                <w:lang w:eastAsia="en-GB" w:bidi="en-GB"/>
              </w:rPr>
            </w:pPr>
            <w:r w:rsidRPr="0056569B">
              <w:rPr>
                <w:rFonts w:ascii="Arial" w:eastAsia="Courier New" w:hAnsi="Arial" w:cs="Arial"/>
                <w:color w:val="000000"/>
                <w:lang w:val="en-US" w:eastAsia="en-GB" w:bidi="en-GB"/>
              </w:rPr>
              <w:t>[…]</w:t>
            </w:r>
          </w:p>
        </w:tc>
      </w:tr>
      <w:tr w:rsidR="00BF20F5" w:rsidRPr="0056569B" w14:paraId="73D53A37" w14:textId="77777777" w:rsidTr="0056569B">
        <w:tc>
          <w:tcPr>
            <w:tcW w:w="1082" w:type="dxa"/>
            <w:shd w:val="clear" w:color="auto" w:fill="auto"/>
          </w:tcPr>
          <w:p w14:paraId="2DDDD2F5" w14:textId="77777777" w:rsidR="00BF20F5" w:rsidRPr="0056569B" w:rsidRDefault="00BF20F5" w:rsidP="0052310F">
            <w:pPr>
              <w:spacing w:before="240" w:line="260" w:lineRule="atLeast"/>
              <w:jc w:val="both"/>
              <w:rPr>
                <w:rFonts w:ascii="Arial" w:eastAsia="Courier New" w:hAnsi="Arial" w:cs="Arial"/>
                <w:color w:val="000000"/>
                <w:lang w:eastAsia="en-GB" w:bidi="en-GB"/>
              </w:rPr>
            </w:pPr>
            <w:r w:rsidRPr="0056569B">
              <w:rPr>
                <w:rFonts w:ascii="Arial" w:eastAsia="Calibri" w:hAnsi="Arial" w:cs="Arial"/>
                <w:lang w:eastAsia="en-GB" w:bidi="en-GB"/>
              </w:rPr>
              <w:t>Žalovaní</w:t>
            </w:r>
          </w:p>
        </w:tc>
        <w:tc>
          <w:tcPr>
            <w:tcW w:w="5553" w:type="dxa"/>
            <w:shd w:val="clear" w:color="auto" w:fill="auto"/>
          </w:tcPr>
          <w:p w14:paraId="31F2D9A5" w14:textId="77777777" w:rsidR="00BF20F5" w:rsidRPr="0056569B" w:rsidRDefault="00BF20F5" w:rsidP="0052310F">
            <w:pPr>
              <w:spacing w:before="240" w:line="260" w:lineRule="atLeast"/>
              <w:jc w:val="both"/>
              <w:rPr>
                <w:rFonts w:ascii="Arial" w:eastAsia="Courier New" w:hAnsi="Arial" w:cs="Arial"/>
                <w:color w:val="000000"/>
                <w:lang w:eastAsia="en-GB" w:bidi="en-GB"/>
              </w:rPr>
            </w:pPr>
            <w:r w:rsidRPr="0056569B">
              <w:rPr>
                <w:rFonts w:ascii="Arial" w:eastAsia="Courier New" w:hAnsi="Arial" w:cs="Arial"/>
                <w:color w:val="000000"/>
                <w:lang w:val="en-US" w:eastAsia="en-GB" w:bidi="en-GB"/>
              </w:rPr>
              <w:t>[…]</w:t>
            </w:r>
          </w:p>
        </w:tc>
        <w:tc>
          <w:tcPr>
            <w:tcW w:w="2085" w:type="dxa"/>
            <w:shd w:val="clear" w:color="auto" w:fill="auto"/>
          </w:tcPr>
          <w:p w14:paraId="4C946436" w14:textId="77777777" w:rsidR="00BF20F5" w:rsidRPr="0056569B" w:rsidRDefault="00BF20F5" w:rsidP="0052310F">
            <w:pPr>
              <w:spacing w:before="240" w:line="260" w:lineRule="atLeast"/>
              <w:jc w:val="both"/>
              <w:rPr>
                <w:rFonts w:ascii="Arial" w:eastAsia="Courier New" w:hAnsi="Arial" w:cs="Arial"/>
                <w:color w:val="000000"/>
                <w:lang w:eastAsia="en-GB" w:bidi="en-GB"/>
              </w:rPr>
            </w:pPr>
            <w:r w:rsidRPr="0056569B">
              <w:rPr>
                <w:rFonts w:ascii="Arial" w:eastAsia="Courier New" w:hAnsi="Arial" w:cs="Arial"/>
                <w:color w:val="000000"/>
                <w:lang w:val="en-US" w:eastAsia="en-GB" w:bidi="en-GB"/>
              </w:rPr>
              <w:t>[…]</w:t>
            </w:r>
          </w:p>
        </w:tc>
      </w:tr>
    </w:tbl>
    <w:p w14:paraId="56273E93" w14:textId="77777777" w:rsidR="00BF20F5" w:rsidRPr="0056569B" w:rsidRDefault="00BF20F5" w:rsidP="00BF20F5">
      <w:pPr>
        <w:pStyle w:val="AODocTxt"/>
        <w:rPr>
          <w:rFonts w:ascii="Arial" w:hAnsi="Arial" w:cs="Arial"/>
          <w:sz w:val="20"/>
          <w:szCs w:val="20"/>
          <w:lang w:val="sk"/>
        </w:rPr>
      </w:pPr>
    </w:p>
    <w:p w14:paraId="3A986B23" w14:textId="77777777" w:rsidR="00322234" w:rsidRPr="0056569B" w:rsidRDefault="00322234" w:rsidP="00BF20F5">
      <w:pPr>
        <w:rPr>
          <w:rFonts w:ascii="Arial" w:hAnsi="Arial" w:cs="Arial"/>
        </w:rPr>
      </w:pPr>
    </w:p>
    <w:sectPr w:rsidR="00322234" w:rsidRPr="0056569B" w:rsidSect="005656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701" w:bottom="1985" w:left="1701" w:header="708" w:footer="70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D9FB1" w14:textId="77777777" w:rsidR="00467D7F" w:rsidRDefault="00467D7F">
      <w:r>
        <w:separator/>
      </w:r>
    </w:p>
  </w:endnote>
  <w:endnote w:type="continuationSeparator" w:id="0">
    <w:p w14:paraId="403D9DEA" w14:textId="77777777" w:rsidR="00467D7F" w:rsidRDefault="0046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8D561" w14:textId="77777777" w:rsidR="008C1F9F" w:rsidRDefault="008C1F9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D4202" w14:textId="77777777" w:rsidR="005A69F5" w:rsidRDefault="005A69F5" w:rsidP="005A69F5">
    <w:pPr>
      <w:pStyle w:val="Pta"/>
      <w:jc w:val="center"/>
      <w:rPr>
        <w:rFonts w:ascii="Arial" w:hAnsi="Arial" w:cs="Arial"/>
        <w:color w:val="595959" w:themeColor="text1" w:themeTint="A6"/>
        <w:sz w:val="16"/>
        <w:szCs w:val="16"/>
        <w:u w:val="single"/>
      </w:rPr>
    </w:pPr>
    <w:r>
      <w:rPr>
        <w:rFonts w:ascii="Arial" w:hAnsi="Arial" w:cs="Arial"/>
        <w:color w:val="595959" w:themeColor="text1" w:themeTint="A6"/>
        <w:sz w:val="16"/>
        <w:szCs w:val="16"/>
        <w:u w:val="single"/>
      </w:rPr>
      <w:t>Rozhodcovský súd Slovenskej advokátskej komory, Kolárska 4, 813 42 Bratislava</w:t>
    </w:r>
  </w:p>
  <w:p w14:paraId="159A2823" w14:textId="77777777" w:rsidR="005A69F5" w:rsidRDefault="005A69F5" w:rsidP="005A69F5">
    <w:pPr>
      <w:pStyle w:val="Pta"/>
      <w:jc w:val="center"/>
      <w:rPr>
        <w:rFonts w:ascii="Arial" w:hAnsi="Arial" w:cs="Arial"/>
        <w:color w:val="595959" w:themeColor="text1" w:themeTint="A6"/>
      </w:rPr>
    </w:pPr>
  </w:p>
  <w:p w14:paraId="56027F49" w14:textId="77777777" w:rsidR="005A69F5" w:rsidRDefault="005A69F5" w:rsidP="005A69F5">
    <w:pPr>
      <w:pStyle w:val="Pta"/>
      <w:jc w:val="center"/>
      <w:rPr>
        <w:rFonts w:ascii="Arial" w:hAnsi="Arial" w:cs="Arial"/>
        <w:color w:val="595959" w:themeColor="text1" w:themeTint="A6"/>
        <w:sz w:val="13"/>
        <w:szCs w:val="13"/>
      </w:rPr>
    </w:pPr>
    <w:r>
      <w:rPr>
        <w:rFonts w:ascii="Arial" w:hAnsi="Arial" w:cs="Arial"/>
        <w:color w:val="595959" w:themeColor="text1" w:themeTint="A6"/>
        <w:sz w:val="13"/>
        <w:szCs w:val="13"/>
      </w:rPr>
      <w:t>Je stálym rozhodcovským súdom, ktorého zriaďovateľom je v zmysle štvrtej hlavy prvej časti zákona č. 244/2002 Z. z. o rozhodcovskom konaní</w:t>
    </w:r>
  </w:p>
  <w:p w14:paraId="38D9F2AE" w14:textId="77777777" w:rsidR="005A69F5" w:rsidRDefault="005A69F5" w:rsidP="005A69F5">
    <w:pPr>
      <w:pStyle w:val="Pta"/>
      <w:jc w:val="center"/>
      <w:rPr>
        <w:rFonts w:ascii="Arial" w:hAnsi="Arial" w:cs="Arial"/>
        <w:color w:val="595959" w:themeColor="text1" w:themeTint="A6"/>
        <w:sz w:val="13"/>
        <w:szCs w:val="13"/>
      </w:rPr>
    </w:pPr>
    <w:r>
      <w:rPr>
        <w:rFonts w:ascii="Arial" w:hAnsi="Arial" w:cs="Arial"/>
        <w:color w:val="595959" w:themeColor="text1" w:themeTint="A6"/>
        <w:sz w:val="13"/>
        <w:szCs w:val="13"/>
      </w:rPr>
      <w:t xml:space="preserve">Slovenská advokátska komora ako samosprávna stavovská organizácia a právnická osoba zriadená zákonom č. 586/2003 Z. z. o advokácii </w:t>
    </w:r>
    <w:r>
      <w:rPr>
        <w:rFonts w:ascii="Arial" w:hAnsi="Arial" w:cs="Arial"/>
        <w:color w:val="595959" w:themeColor="text1" w:themeTint="A6"/>
        <w:sz w:val="13"/>
        <w:szCs w:val="13"/>
      </w:rPr>
      <w:br/>
      <w:t>a o zmene a doplnení zákona č. 455/1991 Zb. o živnostenskom podnikaní (živnostenský zákon) v znení neskorších predpisov.</w:t>
    </w:r>
  </w:p>
  <w:p w14:paraId="1C3FCAEA" w14:textId="616AC2B9" w:rsidR="005A69F5" w:rsidRDefault="005A69F5" w:rsidP="005A69F5">
    <w:pPr>
      <w:pStyle w:val="Pta"/>
      <w:jc w:val="center"/>
      <w:rPr>
        <w:rFonts w:ascii="Arial" w:hAnsi="Arial" w:cs="Arial"/>
        <w:color w:val="595959" w:themeColor="text1" w:themeTint="A6"/>
        <w:sz w:val="13"/>
        <w:szCs w:val="13"/>
      </w:rPr>
    </w:pPr>
    <w:r>
      <w:rPr>
        <w:rFonts w:ascii="Arial" w:hAnsi="Arial" w:cs="Arial"/>
        <w:color w:val="595959" w:themeColor="text1" w:themeTint="A6"/>
        <w:sz w:val="13"/>
        <w:szCs w:val="13"/>
      </w:rPr>
      <w:t xml:space="preserve">Štatút, Rokovací poriadok a jeho prílohy sú uverejnené </w:t>
    </w:r>
    <w:r w:rsidR="00FC1E00">
      <w:rPr>
        <w:rFonts w:ascii="Arial" w:hAnsi="Arial" w:cs="Arial"/>
        <w:color w:val="595959"/>
        <w:sz w:val="13"/>
        <w:szCs w:val="13"/>
      </w:rPr>
      <w:t xml:space="preserve">v Obchodnom vestníku č. 77/2022 zo dňa 22. apríla </w:t>
    </w:r>
    <w:r w:rsidR="00FC1E00">
      <w:rPr>
        <w:rFonts w:ascii="Arial" w:hAnsi="Arial" w:cs="Arial"/>
        <w:color w:val="595959"/>
        <w:sz w:val="13"/>
        <w:szCs w:val="13"/>
      </w:rPr>
      <w:t>2022</w:t>
    </w:r>
    <w:bookmarkStart w:id="5" w:name="_GoBack"/>
    <w:bookmarkEnd w:id="5"/>
    <w:r>
      <w:rPr>
        <w:rFonts w:ascii="Arial" w:hAnsi="Arial" w:cs="Arial"/>
        <w:color w:val="595959" w:themeColor="text1" w:themeTint="A6"/>
        <w:sz w:val="13"/>
        <w:szCs w:val="13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9E250" w14:textId="77777777" w:rsidR="008C1F9F" w:rsidRDefault="008C1F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5C4F3" w14:textId="77777777" w:rsidR="00467D7F" w:rsidRDefault="00467D7F">
      <w:r>
        <w:separator/>
      </w:r>
    </w:p>
  </w:footnote>
  <w:footnote w:type="continuationSeparator" w:id="0">
    <w:p w14:paraId="02C47FDA" w14:textId="77777777" w:rsidR="00467D7F" w:rsidRDefault="00467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CA39E" w14:textId="77777777" w:rsidR="008C1F9F" w:rsidRDefault="008C1F9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7ED84" w14:textId="522AA9CE" w:rsidR="002259E6" w:rsidRDefault="00B8682D">
    <w:pPr>
      <w:pStyle w:val="Hlavika"/>
    </w:pPr>
    <w:r>
      <w:rPr>
        <w:noProof/>
      </w:rPr>
      <w:drawing>
        <wp:inline distT="0" distB="0" distL="0" distR="0" wp14:anchorId="49C137C0" wp14:editId="50B2E859">
          <wp:extent cx="5400040" cy="997585"/>
          <wp:effectExtent l="0" t="0" r="1016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902011 - RSSAK_HL_Papier_TOP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4106F" w14:textId="77777777" w:rsidR="008C1F9F" w:rsidRDefault="008C1F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E6A"/>
    <w:multiLevelType w:val="hybridMultilevel"/>
    <w:tmpl w:val="14F8AFB2"/>
    <w:lvl w:ilvl="0" w:tplc="7D7C6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9507F"/>
    <w:multiLevelType w:val="hybridMultilevel"/>
    <w:tmpl w:val="CE422F5C"/>
    <w:lvl w:ilvl="0" w:tplc="25CE9CCC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1B0104"/>
    <w:multiLevelType w:val="hybridMultilevel"/>
    <w:tmpl w:val="F0C68170"/>
    <w:lvl w:ilvl="0" w:tplc="00AACFDE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E7D39"/>
    <w:multiLevelType w:val="multilevel"/>
    <w:tmpl w:val="FAA4FF90"/>
    <w:name w:val="AOSch"/>
    <w:lvl w:ilvl="0">
      <w:start w:val="1"/>
      <w:numFmt w:val="decimal"/>
      <w:pStyle w:val="AOSchHead"/>
      <w:suff w:val="nothing"/>
      <w:lvlText w:val="Príloha 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bCs/>
        <w:i w:val="0"/>
        <w:iCs w:val="0"/>
        <w:caps/>
        <w:smallCaps w:val="0"/>
      </w:rPr>
    </w:lvl>
    <w:lvl w:ilvl="1">
      <w:start w:val="1"/>
      <w:numFmt w:val="decimal"/>
      <w:pStyle w:val="AOSchPartHead"/>
      <w:suff w:val="nothing"/>
      <w:lvlText w:val="Časť 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4E4B4E3E"/>
    <w:multiLevelType w:val="multilevel"/>
    <w:tmpl w:val="A5BCA1B6"/>
    <w:name w:val="AOHeadX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411666C"/>
    <w:multiLevelType w:val="hybridMultilevel"/>
    <w:tmpl w:val="A4A4CC04"/>
    <w:lvl w:ilvl="0" w:tplc="B990825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30D10"/>
    <w:multiLevelType w:val="multilevel"/>
    <w:tmpl w:val="3C8E8CAC"/>
    <w:name w:val="AOA"/>
    <w:lvl w:ilvl="0">
      <w:start w:val="1"/>
      <w:numFmt w:val="upperLetter"/>
      <w:pStyle w:val="AOA"/>
      <w:lvlText w:val="(%1)"/>
      <w:lvlJc w:val="left"/>
      <w:pPr>
        <w:ind w:left="720" w:hanging="72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F735C6B"/>
    <w:multiLevelType w:val="hybridMultilevel"/>
    <w:tmpl w:val="6A92FBF4"/>
    <w:lvl w:ilvl="0" w:tplc="E8C447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9D4"/>
    <w:rsid w:val="000B30CE"/>
    <w:rsid w:val="000C48A1"/>
    <w:rsid w:val="000D2AC8"/>
    <w:rsid w:val="00141A47"/>
    <w:rsid w:val="001C2A9D"/>
    <w:rsid w:val="002259E6"/>
    <w:rsid w:val="00315BC0"/>
    <w:rsid w:val="00322234"/>
    <w:rsid w:val="003355F1"/>
    <w:rsid w:val="00371D3D"/>
    <w:rsid w:val="00467D7F"/>
    <w:rsid w:val="004702D4"/>
    <w:rsid w:val="004D2F7E"/>
    <w:rsid w:val="004F2842"/>
    <w:rsid w:val="00545124"/>
    <w:rsid w:val="0056569B"/>
    <w:rsid w:val="005A69F5"/>
    <w:rsid w:val="006B7D1A"/>
    <w:rsid w:val="00747B52"/>
    <w:rsid w:val="007715F6"/>
    <w:rsid w:val="007A280F"/>
    <w:rsid w:val="00837F68"/>
    <w:rsid w:val="008451CE"/>
    <w:rsid w:val="008572D1"/>
    <w:rsid w:val="008C1F9F"/>
    <w:rsid w:val="008E6CFD"/>
    <w:rsid w:val="009573F4"/>
    <w:rsid w:val="00B45A9A"/>
    <w:rsid w:val="00B6368A"/>
    <w:rsid w:val="00B8682D"/>
    <w:rsid w:val="00BF20F5"/>
    <w:rsid w:val="00C419D4"/>
    <w:rsid w:val="00C91290"/>
    <w:rsid w:val="00E44024"/>
    <w:rsid w:val="00EA4809"/>
    <w:rsid w:val="00F24FE8"/>
    <w:rsid w:val="00F350EF"/>
    <w:rsid w:val="00F70B86"/>
    <w:rsid w:val="00FA6055"/>
    <w:rsid w:val="00FC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A671F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222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F24FE8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22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322234"/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E44024"/>
  </w:style>
  <w:style w:type="paragraph" w:customStyle="1" w:styleId="AONormal">
    <w:name w:val="AONormal"/>
    <w:rsid w:val="00BF20F5"/>
    <w:pPr>
      <w:spacing w:line="260" w:lineRule="atLeast"/>
    </w:pPr>
    <w:rPr>
      <w:rFonts w:eastAsia="Calibri"/>
      <w:sz w:val="22"/>
      <w:szCs w:val="22"/>
      <w:lang w:val="en-GB" w:eastAsia="en-US"/>
    </w:rPr>
  </w:style>
  <w:style w:type="paragraph" w:customStyle="1" w:styleId="AODocTxt">
    <w:name w:val="AODocTxt"/>
    <w:basedOn w:val="Normlny"/>
    <w:rsid w:val="00BF20F5"/>
    <w:pPr>
      <w:spacing w:before="240" w:line="260" w:lineRule="atLeast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AOA">
    <w:name w:val="AO(A)"/>
    <w:basedOn w:val="Normlny"/>
    <w:next w:val="AODocTxt"/>
    <w:rsid w:val="00BF20F5"/>
    <w:pPr>
      <w:numPr>
        <w:numId w:val="7"/>
      </w:numPr>
      <w:spacing w:before="240" w:line="260" w:lineRule="atLeast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AOHead1">
    <w:name w:val="AOHead1"/>
    <w:basedOn w:val="Normlny"/>
    <w:next w:val="Normlny"/>
    <w:rsid w:val="00BF20F5"/>
    <w:pPr>
      <w:keepNext/>
      <w:numPr>
        <w:numId w:val="6"/>
      </w:numPr>
      <w:spacing w:before="240" w:line="260" w:lineRule="atLeast"/>
      <w:jc w:val="both"/>
      <w:outlineLvl w:val="0"/>
    </w:pPr>
    <w:rPr>
      <w:rFonts w:eastAsia="Calibri"/>
      <w:b/>
      <w:caps/>
      <w:kern w:val="28"/>
      <w:sz w:val="22"/>
      <w:szCs w:val="22"/>
      <w:lang w:val="en-GB" w:eastAsia="en-US"/>
    </w:rPr>
  </w:style>
  <w:style w:type="paragraph" w:customStyle="1" w:styleId="AOHead2">
    <w:name w:val="AOHead2"/>
    <w:basedOn w:val="Normlny"/>
    <w:next w:val="Normlny"/>
    <w:rsid w:val="00BF20F5"/>
    <w:pPr>
      <w:keepNext/>
      <w:numPr>
        <w:ilvl w:val="1"/>
        <w:numId w:val="6"/>
      </w:numPr>
      <w:spacing w:before="240" w:line="260" w:lineRule="atLeast"/>
      <w:jc w:val="both"/>
      <w:outlineLvl w:val="1"/>
    </w:pPr>
    <w:rPr>
      <w:rFonts w:eastAsia="Calibri"/>
      <w:b/>
      <w:sz w:val="22"/>
      <w:szCs w:val="22"/>
      <w:lang w:val="en-GB" w:eastAsia="en-US"/>
    </w:rPr>
  </w:style>
  <w:style w:type="paragraph" w:customStyle="1" w:styleId="AOHead3">
    <w:name w:val="AOHead3"/>
    <w:basedOn w:val="Normlny"/>
    <w:next w:val="Normlny"/>
    <w:rsid w:val="00BF20F5"/>
    <w:pPr>
      <w:numPr>
        <w:ilvl w:val="2"/>
        <w:numId w:val="6"/>
      </w:numPr>
      <w:spacing w:before="240" w:line="260" w:lineRule="atLeast"/>
      <w:jc w:val="both"/>
      <w:outlineLvl w:val="2"/>
    </w:pPr>
    <w:rPr>
      <w:rFonts w:eastAsia="Calibri"/>
      <w:sz w:val="22"/>
      <w:szCs w:val="22"/>
      <w:lang w:val="en-GB" w:eastAsia="en-US"/>
    </w:rPr>
  </w:style>
  <w:style w:type="paragraph" w:customStyle="1" w:styleId="AOHead4">
    <w:name w:val="AOHead4"/>
    <w:basedOn w:val="Normlny"/>
    <w:next w:val="Normlny"/>
    <w:rsid w:val="00BF20F5"/>
    <w:pPr>
      <w:numPr>
        <w:ilvl w:val="3"/>
        <w:numId w:val="6"/>
      </w:numPr>
      <w:spacing w:before="240" w:line="260" w:lineRule="atLeast"/>
      <w:jc w:val="both"/>
      <w:outlineLvl w:val="3"/>
    </w:pPr>
    <w:rPr>
      <w:rFonts w:eastAsia="Calibri"/>
      <w:sz w:val="22"/>
      <w:szCs w:val="22"/>
      <w:lang w:val="en-GB" w:eastAsia="en-US"/>
    </w:rPr>
  </w:style>
  <w:style w:type="paragraph" w:customStyle="1" w:styleId="AOHead5">
    <w:name w:val="AOHead5"/>
    <w:basedOn w:val="Normlny"/>
    <w:next w:val="Normlny"/>
    <w:rsid w:val="00BF20F5"/>
    <w:pPr>
      <w:numPr>
        <w:ilvl w:val="4"/>
        <w:numId w:val="6"/>
      </w:numPr>
      <w:spacing w:before="240" w:line="260" w:lineRule="atLeast"/>
      <w:jc w:val="both"/>
      <w:outlineLvl w:val="4"/>
    </w:pPr>
    <w:rPr>
      <w:rFonts w:eastAsia="Calibri"/>
      <w:sz w:val="22"/>
      <w:szCs w:val="22"/>
      <w:lang w:val="en-GB" w:eastAsia="en-US"/>
    </w:rPr>
  </w:style>
  <w:style w:type="paragraph" w:customStyle="1" w:styleId="AOHead6">
    <w:name w:val="AOHead6"/>
    <w:basedOn w:val="Normlny"/>
    <w:next w:val="Normlny"/>
    <w:rsid w:val="00BF20F5"/>
    <w:pPr>
      <w:numPr>
        <w:ilvl w:val="5"/>
        <w:numId w:val="6"/>
      </w:numPr>
      <w:spacing w:before="240" w:line="260" w:lineRule="atLeast"/>
      <w:jc w:val="both"/>
      <w:outlineLvl w:val="5"/>
    </w:pPr>
    <w:rPr>
      <w:rFonts w:eastAsia="Calibri"/>
      <w:sz w:val="22"/>
      <w:szCs w:val="22"/>
      <w:lang w:val="en-GB" w:eastAsia="en-US"/>
    </w:rPr>
  </w:style>
  <w:style w:type="paragraph" w:customStyle="1" w:styleId="AOSchTitle">
    <w:name w:val="AOSchTitle"/>
    <w:basedOn w:val="Normlny"/>
    <w:next w:val="AODocTxt"/>
    <w:rsid w:val="00BF20F5"/>
    <w:pPr>
      <w:spacing w:before="240" w:line="260" w:lineRule="atLeast"/>
      <w:jc w:val="center"/>
      <w:outlineLvl w:val="1"/>
    </w:pPr>
    <w:rPr>
      <w:rFonts w:eastAsia="Calibri"/>
      <w:b/>
      <w:caps/>
      <w:sz w:val="22"/>
      <w:szCs w:val="22"/>
      <w:lang w:val="en-GB" w:eastAsia="en-US"/>
    </w:rPr>
  </w:style>
  <w:style w:type="paragraph" w:customStyle="1" w:styleId="AOSchHead">
    <w:name w:val="AOSchHead"/>
    <w:basedOn w:val="Normlny"/>
    <w:next w:val="AOSchTitle"/>
    <w:rsid w:val="00BF20F5"/>
    <w:pPr>
      <w:pageBreakBefore/>
      <w:numPr>
        <w:numId w:val="8"/>
      </w:numPr>
      <w:tabs>
        <w:tab w:val="clear" w:pos="0"/>
      </w:tabs>
      <w:spacing w:before="240" w:line="260" w:lineRule="atLeast"/>
      <w:jc w:val="center"/>
      <w:outlineLvl w:val="0"/>
    </w:pPr>
    <w:rPr>
      <w:rFonts w:eastAsia="Calibri"/>
      <w:caps/>
      <w:sz w:val="22"/>
      <w:szCs w:val="22"/>
      <w:lang w:val="en-GB" w:eastAsia="en-US"/>
    </w:rPr>
  </w:style>
  <w:style w:type="paragraph" w:customStyle="1" w:styleId="AOSchPartHead">
    <w:name w:val="AOSchPartHead"/>
    <w:basedOn w:val="AOSchHead"/>
    <w:next w:val="Normlny"/>
    <w:rsid w:val="00BF20F5"/>
    <w:pPr>
      <w:pageBreakBefore w:val="0"/>
      <w:numPr>
        <w:ilvl w:val="1"/>
      </w:numPr>
      <w:tabs>
        <w:tab w:val="clear" w:pos="0"/>
      </w:tabs>
    </w:pPr>
  </w:style>
  <w:style w:type="character" w:customStyle="1" w:styleId="PtaChar">
    <w:name w:val="Päta Char"/>
    <w:basedOn w:val="Predvolenpsmoodseku"/>
    <w:link w:val="Pta"/>
    <w:rsid w:val="00315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7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0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0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28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03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51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962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33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474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671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3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402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649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294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316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155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6046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7864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55122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8333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4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9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6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12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74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55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747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561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48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69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806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348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34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5658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7873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628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226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5119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28431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2421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6706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01756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1434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57799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34439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53620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615608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887045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7117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7474375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916654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06660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429110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632683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6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2019-02-07T15:09:00Z</dcterms:created>
  <dcterms:modified xsi:type="dcterms:W3CDTF">2022-05-03T09:06:00Z</dcterms:modified>
</cp:coreProperties>
</file>